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苏州人才落户办事指南（单位申请）</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color w:val="000000"/>
          <w:sz w:val="32"/>
          <w:szCs w:val="32"/>
        </w:rPr>
        <w:t>【办理依据】</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一、苏州市人民政府《市政府关于印发苏州市户籍准入管理办法的通知》（苏府规字〔2020〕14号）；</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二、苏州市人民政府《市政府关于调整人才落户相关政策的通知》（苏府规字〔2020〕4号）（以下简称《通知》）；</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三、苏州市人力资源和社会保障局、苏州市公安局《关于落实苏州市调整人才落户相关政策的操作细则》（苏人保〔2020〕7号）（以下简称《细则》）</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color w:val="000000"/>
          <w:sz w:val="32"/>
          <w:szCs w:val="32"/>
        </w:rPr>
        <w:t>【办理条件】</w:t>
      </w:r>
    </w:p>
    <w:p>
      <w:pPr>
        <w:pStyle w:val="4"/>
        <w:shd w:val="clear" w:color="auto" w:fill="FFFFFF"/>
        <w:spacing w:before="75" w:beforeAutospacing="0" w:after="75" w:afterAutospacing="0" w:line="480" w:lineRule="atLeast"/>
        <w:ind w:firstLine="640"/>
        <w:rPr>
          <w:rFonts w:ascii="仿宋_GB2312" w:hAnsi="微软雅黑" w:eastAsia="仿宋_GB2312"/>
          <w:color w:val="000000"/>
          <w:sz w:val="32"/>
          <w:szCs w:val="32"/>
        </w:rPr>
      </w:pPr>
      <w:r>
        <w:rPr>
          <w:rFonts w:hint="eastAsia" w:ascii="仿宋_GB2312" w:hAnsi="微软雅黑" w:eastAsia="仿宋_GB2312"/>
          <w:color w:val="000000"/>
          <w:sz w:val="32"/>
          <w:szCs w:val="32"/>
        </w:rPr>
        <w:t>符合《市政府关于调整人才落户相关政策的通知》（苏府规字〔2020〕4号）（以下简称《通知》）第二、三条规定的以下人员：</w:t>
      </w:r>
    </w:p>
    <w:p>
      <w:pPr>
        <w:pStyle w:val="4"/>
        <w:shd w:val="clear" w:color="auto" w:fill="FFFFFF"/>
        <w:spacing w:before="75" w:beforeAutospacing="0" w:after="75" w:afterAutospacing="0" w:line="480" w:lineRule="atLeast"/>
        <w:ind w:firstLine="640" w:firstLineChars="200"/>
        <w:rPr>
          <w:rFonts w:ascii="微软雅黑" w:hAnsi="微软雅黑" w:eastAsia="微软雅黑"/>
          <w:color w:val="000000"/>
          <w:sz w:val="21"/>
          <w:szCs w:val="21"/>
        </w:rPr>
      </w:pPr>
      <w:r>
        <w:rPr>
          <w:rFonts w:hint="eastAsia" w:ascii="仿宋_GB2312" w:hAnsi="微软雅黑" w:eastAsia="仿宋_GB2312"/>
          <w:color w:val="000000"/>
          <w:sz w:val="32"/>
          <w:szCs w:val="32"/>
        </w:rPr>
        <w:t>二、在苏就业并按规定缴纳社会保险的以下人员，在人事档案转入后可申请办理落户：</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（一）具有硕士研究生学历或硕士学位及以上（含留学人员）、高级专业技术职称、国家职业资格（职业技能等级）一级条件之一的人员；</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（二）具有本科学历（含留学人员）、中级专业技术职称、国家职业资格（职业技能等级）二级条件之一的人员，年龄不超过45周岁。</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三、具有大专学历或国家职业资格（职业技能等级）三级，年龄不超过35周岁，在苏稳定就业并在申报单位连续缴纳（不含补缴）社会保险6个月以上的人员，在人事档案转入后可申请办理落户。</w:t>
      </w:r>
    </w:p>
    <w:p>
      <w:pPr>
        <w:pStyle w:val="4"/>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8"/>
          <w:rFonts w:hint="eastAsia"/>
          <w:color w:val="000000"/>
          <w:sz w:val="32"/>
          <w:szCs w:val="32"/>
        </w:rPr>
        <w:t>【受理范围】</w:t>
      </w:r>
    </w:p>
    <w:p>
      <w:pPr>
        <w:pStyle w:val="4"/>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Fonts w:hint="eastAsia" w:ascii="仿宋_GB2312" w:hAnsi="微软雅黑" w:eastAsia="仿宋_GB2312"/>
          <w:color w:val="000000"/>
          <w:sz w:val="32"/>
          <w:szCs w:val="32"/>
        </w:rPr>
        <w:t>符合《通知》第二、三条规定，</w:t>
      </w:r>
      <w:r>
        <w:rPr>
          <w:rFonts w:hint="eastAsia" w:ascii="仿宋_GB2312" w:eastAsia="仿宋_GB2312"/>
          <w:color w:val="000000"/>
          <w:sz w:val="32"/>
          <w:szCs w:val="32"/>
          <w:shd w:val="clear" w:color="auto" w:fill="FFFFFF"/>
        </w:rPr>
        <w:t>单位向代理关系所在地或已开通人才落户申请权限的人才服务机构提交申请。</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color w:val="000000"/>
          <w:sz w:val="32"/>
          <w:szCs w:val="32"/>
        </w:rPr>
        <w:t>【申请材料及要求】</w:t>
      </w:r>
    </w:p>
    <w:p>
      <w:pPr>
        <w:pStyle w:val="4"/>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8"/>
          <w:rFonts w:hint="eastAsia" w:ascii="黑体" w:hAnsi="黑体" w:eastAsia="黑体"/>
          <w:color w:val="000000"/>
          <w:sz w:val="32"/>
          <w:szCs w:val="32"/>
        </w:rPr>
        <w:t>一、学历、学位、专业技术职称、国家职业资格（职业技能等级）材料</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ascii="楷体" w:hAnsi="楷体" w:eastAsia="楷体"/>
          <w:color w:val="000000"/>
          <w:sz w:val="32"/>
          <w:szCs w:val="32"/>
        </w:rPr>
        <w:t>（一）依学历、学位条件申请人员提交：</w:t>
      </w:r>
    </w:p>
    <w:p>
      <w:pPr>
        <w:pStyle w:val="4"/>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Style w:val="8"/>
          <w:rFonts w:hint="eastAsia" w:ascii="微软雅黑" w:hAnsi="微软雅黑" w:eastAsia="微软雅黑"/>
          <w:color w:val="000000"/>
          <w:sz w:val="32"/>
          <w:szCs w:val="32"/>
        </w:rPr>
        <w:t>1.</w:t>
      </w:r>
      <w:r>
        <w:rPr>
          <w:rStyle w:val="8"/>
          <w:rFonts w:hint="eastAsia" w:ascii="仿宋_GB2312" w:hAnsi="微软雅黑" w:eastAsia="仿宋_GB2312"/>
          <w:color w:val="000000"/>
          <w:sz w:val="32"/>
          <w:szCs w:val="32"/>
        </w:rPr>
        <w:t>国内学历提交：</w:t>
      </w:r>
      <w:r>
        <w:rPr>
          <w:rFonts w:hint="eastAsia" w:ascii="仿宋_GB2312" w:eastAsia="仿宋_GB2312"/>
          <w:color w:val="000000"/>
          <w:sz w:val="32"/>
          <w:szCs w:val="32"/>
          <w:shd w:val="clear" w:color="auto" w:fill="FFFFFF"/>
        </w:rPr>
        <w:t>学历证书、教育部高等院校学生信息网注册打印的在验证有效期内的《教育部学历证书电子注册备案表》并填写“在线验证码”，无注册备案信息的应提交《中国高等教育学历认证报告》并填写“报告编号”。</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ascii="微软雅黑" w:hAnsi="微软雅黑" w:eastAsia="微软雅黑"/>
          <w:color w:val="000000"/>
          <w:sz w:val="32"/>
          <w:szCs w:val="32"/>
        </w:rPr>
        <w:t>2.</w:t>
      </w:r>
      <w:r>
        <w:rPr>
          <w:rStyle w:val="8"/>
          <w:rFonts w:hint="eastAsia" w:ascii="仿宋_GB2312" w:hAnsi="微软雅黑" w:eastAsia="仿宋_GB2312"/>
          <w:color w:val="000000"/>
          <w:sz w:val="32"/>
          <w:szCs w:val="32"/>
        </w:rPr>
        <w:t>国内学位提交</w:t>
      </w:r>
      <w:r>
        <w:rPr>
          <w:rStyle w:val="8"/>
          <w:rFonts w:hint="eastAsia"/>
          <w:color w:val="000000"/>
          <w:sz w:val="32"/>
          <w:szCs w:val="32"/>
        </w:rPr>
        <w:t>：</w:t>
      </w:r>
      <w:r>
        <w:rPr>
          <w:rFonts w:hint="eastAsia" w:ascii="仿宋_GB2312" w:hAnsi="微软雅黑" w:eastAsia="仿宋_GB2312"/>
          <w:color w:val="000000"/>
          <w:sz w:val="32"/>
          <w:szCs w:val="32"/>
        </w:rPr>
        <w:t>学位证书、教育部中国学位与研究生教育网出具的《教育部学位与研究生教育发展中心认证报告》并填写学位证书编号。</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ascii="微软雅黑" w:hAnsi="微软雅黑" w:eastAsia="微软雅黑"/>
          <w:color w:val="000000"/>
          <w:sz w:val="32"/>
          <w:szCs w:val="32"/>
        </w:rPr>
        <w:t>3.</w:t>
      </w:r>
      <w:r>
        <w:rPr>
          <w:rStyle w:val="8"/>
          <w:rFonts w:hint="eastAsia" w:ascii="仿宋_GB2312" w:hAnsi="微软雅黑" w:eastAsia="仿宋_GB2312"/>
          <w:color w:val="000000"/>
          <w:sz w:val="32"/>
          <w:szCs w:val="32"/>
        </w:rPr>
        <w:t>留学人员提交</w:t>
      </w:r>
      <w:r>
        <w:rPr>
          <w:rStyle w:val="8"/>
          <w:rFonts w:hint="eastAsia"/>
          <w:color w:val="000000"/>
          <w:sz w:val="32"/>
          <w:szCs w:val="32"/>
        </w:rPr>
        <w:t>：</w:t>
      </w:r>
      <w:r>
        <w:rPr>
          <w:rFonts w:hint="eastAsia" w:ascii="仿宋_GB2312" w:hAnsi="微软雅黑" w:eastAsia="仿宋_GB2312"/>
          <w:color w:val="000000"/>
          <w:sz w:val="32"/>
          <w:szCs w:val="32"/>
        </w:rPr>
        <w:t>教育部留学服务中心出具的“港澳台地区、国外或中外合作办学学历学位认证书”或网站打印页面，填写认证书编号。</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ascii="楷体" w:hAnsi="楷体" w:eastAsia="楷体"/>
          <w:color w:val="000000"/>
          <w:sz w:val="32"/>
          <w:szCs w:val="32"/>
        </w:rPr>
        <w:t>（二）依职称条件申请人员提交：</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《专业技术资格（职称）证书》《专业技术资格评审申报表》或批文、考试合格登记表。</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Style w:val="8"/>
          <w:rFonts w:hint="eastAsia" w:ascii="楷体" w:hAnsi="楷体" w:eastAsia="楷体"/>
          <w:color w:val="000000"/>
          <w:sz w:val="32"/>
          <w:szCs w:val="32"/>
        </w:rPr>
        <w:t>（三）依技能条件申请人员提交：</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《国家职业资格证书》或《职业技能等级证书》。</w:t>
      </w:r>
    </w:p>
    <w:p>
      <w:pPr>
        <w:pStyle w:val="4"/>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8"/>
          <w:rFonts w:hint="eastAsia" w:ascii="黑体" w:hAnsi="黑体" w:eastAsia="黑体"/>
          <w:color w:val="000000"/>
          <w:sz w:val="32"/>
          <w:szCs w:val="32"/>
        </w:rPr>
        <w:t>二、人事档案材料</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具有大中专及以上学历、实行社会保险制度前参加工作及已建立人事档案的，应当在申请人才落户时同时申请档案转入受理机构或我市有档案保管权限的用人单位保管。人事档案材料应当真实、准确、完整、规范，如实反映存档人员基本情况。</w:t>
      </w:r>
    </w:p>
    <w:p>
      <w:pPr>
        <w:pStyle w:val="4"/>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8"/>
          <w:rFonts w:hint="eastAsia" w:ascii="黑体" w:hAnsi="黑体" w:eastAsia="黑体"/>
          <w:color w:val="000000"/>
          <w:sz w:val="32"/>
          <w:szCs w:val="32"/>
        </w:rPr>
        <w:t>三、户籍及婚姻材料</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①拟在自有房产落户的，需提交本人及随迁人员的居民身份证、居民户口簿或关系证明、所购买房屋的所有权证明；</w:t>
      </w:r>
    </w:p>
    <w:p>
      <w:pPr>
        <w:pStyle w:val="4"/>
        <w:shd w:val="clear" w:color="auto" w:fill="FFFFFF"/>
        <w:spacing w:before="75" w:beforeAutospacing="0" w:after="75" w:afterAutospacing="0" w:line="480" w:lineRule="atLeast"/>
        <w:ind w:firstLine="640"/>
        <w:rPr>
          <w:rFonts w:ascii="仿宋_GB2312" w:hAnsi="微软雅黑" w:eastAsia="仿宋_GB2312"/>
          <w:color w:val="000000"/>
          <w:sz w:val="32"/>
          <w:szCs w:val="32"/>
        </w:rPr>
      </w:pPr>
      <w:r>
        <w:rPr>
          <w:rFonts w:hint="eastAsia" w:ascii="仿宋_GB2312" w:hAnsi="微软雅黑" w:eastAsia="仿宋_GB2312"/>
          <w:color w:val="000000"/>
          <w:sz w:val="32"/>
          <w:szCs w:val="32"/>
        </w:rPr>
        <w:t>②拟投靠直系亲属的，需提交投靠双方居民身份证、居民户口簿、被投靠人和合法稳定住所所有权人同意迁入的声明、投靠人与被投靠人之间关系证明、合法稳定住所证明；</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③拟在单位集体户落户的，需提交本人的居民身份证、居民户口簿、用人单位集体户首页；</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④拟在人才集体户落户的，需提交本人的居民身份证、居民户口簿；</w:t>
      </w:r>
    </w:p>
    <w:p>
      <w:pPr>
        <w:pStyle w:val="4"/>
        <w:shd w:val="clear" w:color="auto" w:fill="FFFFFF"/>
        <w:spacing w:before="75" w:beforeAutospacing="0" w:after="75" w:afterAutospacing="0" w:line="480" w:lineRule="atLeast"/>
        <w:ind w:firstLine="640"/>
        <w:rPr>
          <w:rFonts w:ascii="微软雅黑" w:hAnsi="微软雅黑" w:eastAsia="微软雅黑"/>
          <w:color w:val="000000"/>
          <w:sz w:val="21"/>
          <w:szCs w:val="21"/>
        </w:rPr>
      </w:pPr>
      <w:r>
        <w:rPr>
          <w:rFonts w:hint="eastAsia" w:ascii="仿宋_GB2312" w:hAnsi="微软雅黑" w:eastAsia="仿宋_GB2312"/>
          <w:color w:val="000000"/>
          <w:sz w:val="32"/>
          <w:szCs w:val="32"/>
        </w:rPr>
        <w:t>④婚姻状况材料。已婚人员需提交结婚证，离异人员需提交离婚证（附协议书）或法院判决书、法院调解书等；未成年子女随迁需提交出生医学证明；非婚生育或离异人员子女随迁，直接抚养人需提交经公证处公证的子女抚养权协议书或民政部门备案的离婚协议书或法院判决书、法院调解书等；属失业未婚子女随迁的，需提交失业未婚的书面承诺书。</w:t>
      </w:r>
    </w:p>
    <w:p>
      <w:pPr>
        <w:pStyle w:val="4"/>
        <w:shd w:val="clear" w:color="auto" w:fill="FFFFFF"/>
        <w:spacing w:before="75" w:beforeAutospacing="0" w:after="120" w:afterAutospacing="0" w:line="480" w:lineRule="atLeast"/>
        <w:ind w:firstLine="640"/>
        <w:rPr>
          <w:rFonts w:ascii="微软雅黑" w:hAnsi="微软雅黑" w:eastAsia="微软雅黑"/>
          <w:color w:val="000000"/>
          <w:sz w:val="21"/>
          <w:szCs w:val="21"/>
        </w:rPr>
      </w:pPr>
      <w:r>
        <w:rPr>
          <w:rStyle w:val="8"/>
          <w:rFonts w:hint="eastAsia" w:ascii="黑体" w:hAnsi="黑体" w:eastAsia="黑体"/>
          <w:color w:val="000000"/>
          <w:sz w:val="32"/>
          <w:szCs w:val="32"/>
        </w:rPr>
        <w:t>四、诚信承诺、公示反馈及其他材料</w:t>
      </w:r>
    </w:p>
    <w:p>
      <w:pPr>
        <w:pStyle w:val="4"/>
        <w:shd w:val="clear" w:color="auto" w:fill="FFFFFF"/>
        <w:spacing w:before="75" w:beforeAutospacing="0" w:after="75" w:afterAutospacing="0" w:line="560" w:lineRule="exact"/>
        <w:ind w:firstLine="641"/>
        <w:rPr>
          <w:rFonts w:ascii="仿宋_GB2312" w:hAnsi="微软雅黑" w:eastAsia="仿宋_GB2312"/>
          <w:color w:val="000000"/>
          <w:sz w:val="32"/>
          <w:szCs w:val="32"/>
        </w:rPr>
      </w:pPr>
      <w:r>
        <w:rPr>
          <w:rFonts w:hint="eastAsia" w:ascii="仿宋_GB2312" w:hAnsi="微软雅黑" w:eastAsia="仿宋_GB2312"/>
          <w:color w:val="000000"/>
          <w:sz w:val="32"/>
          <w:szCs w:val="32"/>
        </w:rPr>
        <w:t>单位申请应提交《苏州市申办人才落户申请单位承诺书》和《苏州市拟落户人员申请单位内部公示回执》，及《苏州市人才落户申报人个人承诺书》。</w:t>
      </w:r>
    </w:p>
    <w:p>
      <w:pPr>
        <w:spacing w:line="560" w:lineRule="exact"/>
        <w:ind w:firstLine="641"/>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经审核档案，缺少关键档案材料的，本人应作出书面知情说明并提交《承诺补充档案材料书》。</w:t>
      </w:r>
    </w:p>
    <w:p>
      <w:pPr>
        <w:spacing w:line="600" w:lineRule="exact"/>
        <w:ind w:firstLine="643" w:firstLineChars="200"/>
        <w:rPr>
          <w:rFonts w:ascii="黑体" w:hAnsi="黑体" w:eastAsia="黑体" w:cs="黑体"/>
          <w:sz w:val="28"/>
          <w:szCs w:val="28"/>
        </w:rPr>
      </w:pPr>
      <w:r>
        <w:rPr>
          <w:rStyle w:val="8"/>
          <w:rFonts w:hint="eastAsia"/>
          <w:color w:val="000000"/>
          <w:sz w:val="32"/>
          <w:szCs w:val="32"/>
        </w:rPr>
        <w:t>【服务流程】</w:t>
      </w:r>
    </w:p>
    <w:p>
      <w:pPr>
        <w:pStyle w:val="4"/>
        <w:shd w:val="clear" w:color="auto" w:fill="FFFFFF"/>
        <w:spacing w:before="75" w:beforeAutospacing="0" w:after="75" w:afterAutospacing="0" w:line="480" w:lineRule="atLeast"/>
        <w:ind w:firstLine="640"/>
        <w:rPr>
          <w:rFonts w:ascii="仿宋_GB2312" w:hAnsi="微软雅黑" w:eastAsia="仿宋_GB2312"/>
          <w:color w:val="000000"/>
          <w:sz w:val="32"/>
          <w:szCs w:val="32"/>
        </w:rPr>
      </w:pPr>
      <w:r>
        <w:rPr>
          <w:rFonts w:hint="eastAsia" w:ascii="仿宋_GB2312" w:hAnsi="微软雅黑" w:eastAsia="仿宋_GB2312"/>
          <w:color w:val="000000"/>
          <w:sz w:val="32"/>
          <w:szCs w:val="32"/>
        </w:rPr>
        <w:t>一、预审</w:t>
      </w:r>
    </w:p>
    <w:p>
      <w:pPr>
        <w:pStyle w:val="4"/>
        <w:shd w:val="clear" w:color="auto" w:fill="FFFFFF"/>
        <w:spacing w:before="75" w:beforeAutospacing="0" w:after="75" w:afterAutospacing="0" w:line="480" w:lineRule="atLeast"/>
        <w:ind w:firstLine="640"/>
        <w:rPr>
          <w:rFonts w:ascii="仿宋_GB2312" w:hAnsi="微软雅黑" w:eastAsia="仿宋_GB2312"/>
          <w:color w:val="000000"/>
          <w:sz w:val="32"/>
          <w:szCs w:val="32"/>
        </w:rPr>
      </w:pPr>
      <w:r>
        <w:rPr>
          <w:rFonts w:hint="eastAsia" w:ascii="仿宋_GB2312" w:hAnsi="微软雅黑" w:eastAsia="仿宋_GB2312"/>
          <w:color w:val="000000"/>
          <w:sz w:val="32"/>
          <w:szCs w:val="32"/>
        </w:rPr>
        <w:t>（一）提交预申请</w:t>
      </w:r>
    </w:p>
    <w:p>
      <w:pPr>
        <w:pStyle w:val="4"/>
        <w:shd w:val="clear" w:color="auto" w:fill="FFFFFF"/>
        <w:spacing w:before="75" w:beforeAutospacing="0" w:after="75" w:afterAutospacing="0" w:line="480" w:lineRule="atLeast"/>
        <w:ind w:firstLine="640"/>
        <w:rPr>
          <w:rFonts w:ascii="仿宋_GB2312" w:hAnsi="微软雅黑" w:eastAsia="仿宋_GB2312"/>
          <w:color w:val="000000"/>
          <w:sz w:val="32"/>
          <w:szCs w:val="32"/>
        </w:rPr>
      </w:pPr>
      <w:r>
        <w:rPr>
          <w:rFonts w:hint="eastAsia" w:ascii="仿宋_GB2312" w:hAnsi="微软雅黑" w:eastAsia="仿宋_GB2312"/>
          <w:color w:val="000000"/>
          <w:sz w:val="32"/>
          <w:szCs w:val="32"/>
        </w:rPr>
        <w:t>1、登录：江苏省人力资源和社会保障厅网上办事服务大厅（网址：</w:t>
      </w:r>
      <w:r>
        <w:fldChar w:fldCharType="begin"/>
      </w:r>
      <w:r>
        <w:instrText xml:space="preserve"> HYPERLINK "https://rs.jshrss.jiangsu.gov.cn/" </w:instrText>
      </w:r>
      <w:r>
        <w:fldChar w:fldCharType="separate"/>
      </w:r>
      <w:r>
        <w:rPr>
          <w:rFonts w:ascii="仿宋_GB2312" w:hAnsi="微软雅黑" w:eastAsia="仿宋_GB2312"/>
          <w:color w:val="000000"/>
          <w:sz w:val="32"/>
          <w:szCs w:val="32"/>
        </w:rPr>
        <w:t>https://rs.jshrss.jiangsu.gov.cn</w:t>
      </w:r>
      <w:r>
        <w:rPr>
          <w:rFonts w:ascii="仿宋_GB2312" w:hAnsi="微软雅黑" w:eastAsia="仿宋_GB2312"/>
          <w:color w:val="000000"/>
          <w:sz w:val="32"/>
          <w:szCs w:val="32"/>
        </w:rPr>
        <w:fldChar w:fldCharType="end"/>
      </w:r>
      <w:r>
        <w:rPr>
          <w:rFonts w:hint="eastAsia" w:ascii="仿宋_GB2312" w:hAnsi="微软雅黑" w:eastAsia="仿宋_GB2312"/>
          <w:color w:val="000000"/>
          <w:sz w:val="32"/>
          <w:szCs w:val="32"/>
        </w:rPr>
        <w:t>，推荐使用谷歌浏览器）首页—登录（图1  选择苏州）—单位登录（图2 可选择3种登录方式）—单位办事（图3）—人才人事—苏州人才落户申报—申报。（如申报单位尚未与人才落户受理机构建立人事代理关系则须先申请单位人事代理关系建立，</w:t>
      </w:r>
      <w:r>
        <w:rPr>
          <w:rFonts w:hint="eastAsia" w:ascii="仿宋_GB2312" w:hAnsi="微软雅黑" w:eastAsia="仿宋_GB2312"/>
          <w:color w:val="000000"/>
          <w:sz w:val="32"/>
          <w:szCs w:val="32"/>
          <w:lang w:val="en-US" w:eastAsia="zh-CN"/>
        </w:rPr>
        <w:t>详见</w:t>
      </w:r>
      <w:r>
        <w:rPr>
          <w:rFonts w:hint="eastAsia" w:ascii="仿宋_GB2312" w:hAnsi="微软雅黑" w:eastAsia="仿宋_GB2312"/>
          <w:color w:val="000000"/>
          <w:sz w:val="32"/>
          <w:szCs w:val="32"/>
        </w:rPr>
        <w:t>办理单位人事代理关系建立业务服务指南）</w:t>
      </w:r>
    </w:p>
    <w:p>
      <w:pPr>
        <w:rPr>
          <w:sz w:val="28"/>
          <w:szCs w:val="28"/>
        </w:rPr>
      </w:pPr>
      <w:r>
        <w:rPr>
          <w:rFonts w:hint="eastAsia"/>
          <w:sz w:val="28"/>
          <w:szCs w:val="28"/>
        </w:rPr>
        <w:drawing>
          <wp:inline distT="0" distB="0" distL="114300" distR="114300">
            <wp:extent cx="5671820" cy="3779520"/>
            <wp:effectExtent l="0" t="0" r="5080" b="1143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4"/>
                    <a:stretch>
                      <a:fillRect/>
                    </a:stretch>
                  </pic:blipFill>
                  <pic:spPr>
                    <a:xfrm>
                      <a:off x="0" y="0"/>
                      <a:ext cx="5671820" cy="3779520"/>
                    </a:xfrm>
                    <a:prstGeom prst="rect">
                      <a:avLst/>
                    </a:prstGeom>
                  </pic:spPr>
                </pic:pic>
              </a:graphicData>
            </a:graphic>
          </wp:inline>
        </w:drawing>
      </w:r>
    </w:p>
    <w:p>
      <w:pPr>
        <w:rPr>
          <w:rFonts w:ascii="仿宋_GB2312" w:hAnsi="仿宋_GB2312" w:eastAsia="仿宋_GB2312" w:cs="仿宋_GB2312"/>
          <w:sz w:val="28"/>
          <w:szCs w:val="28"/>
        </w:rPr>
      </w:pPr>
      <w:r>
        <w:rPr>
          <w:rFonts w:hint="eastAsia"/>
          <w:sz w:val="28"/>
          <w:szCs w:val="28"/>
        </w:rPr>
        <w:t xml:space="preserve">                                 </w:t>
      </w:r>
      <w:r>
        <w:rPr>
          <w:rFonts w:hint="eastAsia" w:ascii="仿宋_GB2312" w:hAnsi="仿宋_GB2312" w:eastAsia="仿宋_GB2312" w:cs="仿宋_GB2312"/>
          <w:sz w:val="28"/>
          <w:szCs w:val="28"/>
        </w:rPr>
        <w:t xml:space="preserve"> </w:t>
      </w:r>
    </w:p>
    <w:p>
      <w:pPr>
        <w:ind w:firstLine="3640" w:firstLineChars="1300"/>
        <w:rPr>
          <w:sz w:val="28"/>
          <w:szCs w:val="28"/>
        </w:rPr>
      </w:pPr>
      <w:r>
        <w:rPr>
          <w:rFonts w:hint="eastAsia" w:ascii="仿宋_GB2312" w:hAnsi="仿宋_GB2312" w:eastAsia="仿宋_GB2312" w:cs="仿宋_GB2312"/>
          <w:sz w:val="28"/>
          <w:szCs w:val="28"/>
        </w:rPr>
        <w:t>图1</w:t>
      </w:r>
    </w:p>
    <w:p>
      <w:pPr>
        <w:rPr>
          <w:sz w:val="28"/>
          <w:szCs w:val="28"/>
        </w:rPr>
      </w:pPr>
      <w:r>
        <w:rPr>
          <w:sz w:val="28"/>
          <w:szCs w:val="28"/>
        </w:rPr>
        <w:drawing>
          <wp:inline distT="0" distB="0" distL="114300" distR="114300">
            <wp:extent cx="5681345" cy="3785870"/>
            <wp:effectExtent l="0" t="0" r="14605" b="5080"/>
            <wp:docPr id="2" name="图片 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
                    <pic:cNvPicPr>
                      <a:picLocks noChangeAspect="1"/>
                    </pic:cNvPicPr>
                  </pic:nvPicPr>
                  <pic:blipFill>
                    <a:blip r:embed="rId5"/>
                    <a:stretch>
                      <a:fillRect/>
                    </a:stretch>
                  </pic:blipFill>
                  <pic:spPr>
                    <a:xfrm>
                      <a:off x="0" y="0"/>
                      <a:ext cx="5681345" cy="3785870"/>
                    </a:xfrm>
                    <a:prstGeom prst="rect">
                      <a:avLst/>
                    </a:prstGeom>
                  </pic:spPr>
                </pic:pic>
              </a:graphicData>
            </a:graphic>
          </wp:inline>
        </w:drawing>
      </w:r>
    </w:p>
    <w:p>
      <w:pPr>
        <w:ind w:firstLine="3640" w:firstLineChars="1300"/>
        <w:rPr>
          <w:rFonts w:ascii="仿宋_GB2312" w:hAnsi="仿宋_GB2312" w:eastAsia="仿宋_GB2312" w:cs="仿宋_GB2312"/>
          <w:sz w:val="28"/>
          <w:szCs w:val="28"/>
        </w:rPr>
      </w:pPr>
      <w:r>
        <w:rPr>
          <w:rFonts w:hint="eastAsia" w:ascii="仿宋_GB2312" w:hAnsi="仿宋_GB2312" w:eastAsia="仿宋_GB2312" w:cs="仿宋_GB2312"/>
          <w:sz w:val="28"/>
          <w:szCs w:val="28"/>
        </w:rPr>
        <w:t>图2</w:t>
      </w:r>
    </w:p>
    <w:p>
      <w:pPr>
        <w:ind w:firstLine="3640" w:firstLineChars="1300"/>
        <w:rPr>
          <w:rFonts w:ascii="仿宋_GB2312" w:hAnsi="仿宋_GB2312" w:eastAsia="仿宋_GB2312" w:cs="仿宋_GB2312"/>
          <w:sz w:val="28"/>
          <w:szCs w:val="28"/>
        </w:rPr>
      </w:pPr>
    </w:p>
    <w:p>
      <w:pPr>
        <w:jc w:val="left"/>
        <w:rPr>
          <w:sz w:val="28"/>
          <w:szCs w:val="28"/>
        </w:rPr>
      </w:pPr>
      <w:r>
        <w:rPr>
          <w:sz w:val="28"/>
          <w:szCs w:val="28"/>
        </w:rPr>
        <w:drawing>
          <wp:inline distT="0" distB="0" distL="114300" distR="114300">
            <wp:extent cx="5678170" cy="2926715"/>
            <wp:effectExtent l="0" t="0" r="17780" b="6985"/>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3"/>
                    <pic:cNvPicPr>
                      <a:picLocks noChangeAspect="1"/>
                    </pic:cNvPicPr>
                  </pic:nvPicPr>
                  <pic:blipFill>
                    <a:blip r:embed="rId6"/>
                    <a:stretch>
                      <a:fillRect/>
                    </a:stretch>
                  </pic:blipFill>
                  <pic:spPr>
                    <a:xfrm>
                      <a:off x="0" y="0"/>
                      <a:ext cx="5678170" cy="2926715"/>
                    </a:xfrm>
                    <a:prstGeom prst="rect">
                      <a:avLst/>
                    </a:prstGeom>
                  </pic:spPr>
                </pic:pic>
              </a:graphicData>
            </a:graphic>
          </wp:inline>
        </w:drawing>
      </w:r>
    </w:p>
    <w:p>
      <w:pPr>
        <w:jc w:val="center"/>
        <w:rPr>
          <w:sz w:val="28"/>
          <w:szCs w:val="28"/>
        </w:rPr>
      </w:pP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图3</w:t>
      </w:r>
    </w:p>
    <w:p>
      <w:pPr>
        <w:jc w:val="center"/>
        <w:rPr>
          <w:rFonts w:ascii="仿宋_GB2312" w:hAnsi="仿宋_GB2312" w:eastAsia="仿宋_GB2312" w:cs="仿宋_GB2312"/>
          <w:sz w:val="28"/>
          <w:szCs w:val="28"/>
        </w:rPr>
      </w:pPr>
    </w:p>
    <w:p>
      <w:p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2、申报：第一步，根据申报条件按照提示进行人才落户条件快速测评（图5）；第二步，根据系统提示如实填报落户申请详细信息，填写完成后按系统提示逐项上传真实、有效、清晰的申请材料（图6）（上传</w:t>
      </w:r>
      <w:r>
        <w:rPr>
          <w:rFonts w:ascii="仿宋_GB2312" w:hAnsi="微软雅黑" w:eastAsia="仿宋_GB2312" w:cs="宋体"/>
          <w:color w:val="000000"/>
          <w:kern w:val="0"/>
          <w:sz w:val="32"/>
          <w:szCs w:val="32"/>
        </w:rPr>
        <w:t>图片的</w:t>
      </w:r>
      <w:r>
        <w:rPr>
          <w:rFonts w:hint="eastAsia" w:ascii="仿宋_GB2312" w:hAnsi="微软雅黑" w:eastAsia="仿宋_GB2312" w:cs="宋体"/>
          <w:color w:val="000000"/>
          <w:kern w:val="0"/>
          <w:sz w:val="32"/>
          <w:szCs w:val="32"/>
        </w:rPr>
        <w:t>模板</w:t>
      </w:r>
      <w:r>
        <w:rPr>
          <w:rFonts w:ascii="仿宋_GB2312" w:hAnsi="微软雅黑" w:eastAsia="仿宋_GB2312" w:cs="宋体"/>
          <w:color w:val="000000"/>
          <w:kern w:val="0"/>
          <w:sz w:val="32"/>
          <w:szCs w:val="32"/>
        </w:rPr>
        <w:t>可点击申请页面的下方</w:t>
      </w:r>
      <w:r>
        <w:rPr>
          <w:rFonts w:hint="eastAsia" w:ascii="仿宋_GB2312" w:hAnsi="微软雅黑" w:eastAsia="仿宋_GB2312" w:cs="宋体"/>
          <w:color w:val="000000"/>
          <w:kern w:val="0"/>
          <w:sz w:val="32"/>
          <w:szCs w:val="32"/>
        </w:rPr>
        <w:t>“材料</w:t>
      </w:r>
      <w:r>
        <w:rPr>
          <w:rFonts w:ascii="仿宋_GB2312" w:hAnsi="微软雅黑" w:eastAsia="仿宋_GB2312" w:cs="宋体"/>
          <w:color w:val="000000"/>
          <w:kern w:val="0"/>
          <w:sz w:val="32"/>
          <w:szCs w:val="32"/>
        </w:rPr>
        <w:t>模板</w:t>
      </w:r>
      <w:r>
        <w:rPr>
          <w:rFonts w:hint="eastAsia" w:ascii="仿宋_GB2312" w:hAnsi="微软雅黑" w:eastAsia="仿宋_GB2312" w:cs="宋体"/>
          <w:color w:val="000000"/>
          <w:kern w:val="0"/>
          <w:sz w:val="32"/>
          <w:szCs w:val="32"/>
        </w:rPr>
        <w:t>”查看；空白表</w:t>
      </w:r>
      <w:r>
        <w:rPr>
          <w:rFonts w:ascii="仿宋_GB2312" w:hAnsi="微软雅黑" w:eastAsia="仿宋_GB2312" w:cs="宋体"/>
          <w:color w:val="000000"/>
          <w:kern w:val="0"/>
          <w:sz w:val="32"/>
          <w:szCs w:val="32"/>
        </w:rPr>
        <w:t>可点击“</w:t>
      </w:r>
      <w:r>
        <w:rPr>
          <w:rFonts w:hint="eastAsia" w:ascii="仿宋_GB2312" w:hAnsi="微软雅黑" w:eastAsia="仿宋_GB2312" w:cs="宋体"/>
          <w:color w:val="000000"/>
          <w:kern w:val="0"/>
          <w:sz w:val="32"/>
          <w:szCs w:val="32"/>
        </w:rPr>
        <w:t>表格</w:t>
      </w:r>
      <w:r>
        <w:rPr>
          <w:rFonts w:ascii="仿宋_GB2312" w:hAnsi="微软雅黑" w:eastAsia="仿宋_GB2312" w:cs="宋体"/>
          <w:color w:val="000000"/>
          <w:kern w:val="0"/>
          <w:sz w:val="32"/>
          <w:szCs w:val="32"/>
        </w:rPr>
        <w:t>下载”</w:t>
      </w:r>
      <w:r>
        <w:rPr>
          <w:rFonts w:hint="eastAsia" w:ascii="仿宋_GB2312" w:hAnsi="微软雅黑" w:eastAsia="仿宋_GB2312" w:cs="宋体"/>
          <w:color w:val="000000"/>
          <w:kern w:val="0"/>
          <w:sz w:val="32"/>
          <w:szCs w:val="32"/>
        </w:rPr>
        <w:t>下载）;</w:t>
      </w:r>
    </w:p>
    <w:p>
      <w:pPr>
        <w:rPr>
          <w:sz w:val="28"/>
          <w:szCs w:val="28"/>
        </w:rPr>
      </w:pPr>
      <w:r>
        <w:rPr>
          <w:rFonts w:hint="eastAsia"/>
          <w:sz w:val="28"/>
          <w:szCs w:val="28"/>
        </w:rPr>
        <w:t xml:space="preserve">                                         </w:t>
      </w:r>
      <w:r>
        <w:rPr>
          <w:sz w:val="28"/>
          <w:szCs w:val="28"/>
        </w:rPr>
        <w:drawing>
          <wp:inline distT="0" distB="0" distL="114300" distR="114300">
            <wp:extent cx="5677535" cy="1661795"/>
            <wp:effectExtent l="0" t="0" r="18415" b="14605"/>
            <wp:docPr id="4" name="图片 4"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4"/>
                    <pic:cNvPicPr>
                      <a:picLocks noChangeAspect="1"/>
                    </pic:cNvPicPr>
                  </pic:nvPicPr>
                  <pic:blipFill>
                    <a:blip r:embed="rId7"/>
                    <a:stretch>
                      <a:fillRect/>
                    </a:stretch>
                  </pic:blipFill>
                  <pic:spPr>
                    <a:xfrm>
                      <a:off x="0" y="0"/>
                      <a:ext cx="5677535" cy="1661795"/>
                    </a:xfrm>
                    <a:prstGeom prst="rect">
                      <a:avLst/>
                    </a:prstGeom>
                  </pic:spPr>
                </pic:pic>
              </a:graphicData>
            </a:graphic>
          </wp:inline>
        </w:drawing>
      </w: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图5</w:t>
      </w:r>
    </w:p>
    <w:p>
      <w:pPr>
        <w:jc w:val="center"/>
        <w:rPr>
          <w:rFonts w:ascii="仿宋_GB2312" w:hAnsi="仿宋_GB2312" w:eastAsia="仿宋_GB2312" w:cs="仿宋_GB2312"/>
          <w:sz w:val="28"/>
          <w:szCs w:val="28"/>
        </w:rPr>
      </w:pPr>
    </w:p>
    <w:p>
      <w:pPr>
        <w:jc w:val="center"/>
        <w:rPr>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r>
        <w:rPr>
          <w:rFonts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279400</wp:posOffset>
            </wp:positionH>
            <wp:positionV relativeFrom="paragraph">
              <wp:posOffset>-388620</wp:posOffset>
            </wp:positionV>
            <wp:extent cx="5072380" cy="2990215"/>
            <wp:effectExtent l="0" t="0" r="0" b="635"/>
            <wp:wrapTight wrapText="bothSides">
              <wp:wrapPolygon>
                <wp:start x="0" y="0"/>
                <wp:lineTo x="0" y="21467"/>
                <wp:lineTo x="21497" y="21467"/>
                <wp:lineTo x="21497" y="0"/>
                <wp:lineTo x="0" y="0"/>
              </wp:wrapPolygon>
            </wp:wrapTight>
            <wp:docPr id="8" name="图片 8" descr="C:\Users\jcy\AppData\Local\Temp\1647310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cy\AppData\Local\Temp\164731046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72380" cy="2990215"/>
                    </a:xfrm>
                    <a:prstGeom prst="rect">
                      <a:avLst/>
                    </a:prstGeom>
                    <a:noFill/>
                    <a:ln>
                      <a:noFill/>
                    </a:ln>
                  </pic:spPr>
                </pic:pic>
              </a:graphicData>
            </a:graphic>
          </wp:anchor>
        </w:drawing>
      </w: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Calibri" w:hAnsi="Calibri" w:eastAsia="仿宋_GB2312" w:cs="Calibri"/>
          <w:sz w:val="28"/>
          <w:szCs w:val="28"/>
        </w:rPr>
      </w:pPr>
    </w:p>
    <w:p>
      <w:pPr>
        <w:jc w:val="center"/>
        <w:rPr>
          <w:rFonts w:ascii="Calibri" w:hAnsi="Calibri" w:eastAsia="仿宋_GB2312" w:cs="Calibri"/>
          <w:sz w:val="28"/>
          <w:szCs w:val="28"/>
        </w:rPr>
      </w:pPr>
    </w:p>
    <w:p>
      <w:pPr>
        <w:jc w:val="center"/>
        <w:rPr>
          <w:rFonts w:ascii="Calibri" w:hAnsi="Calibri" w:eastAsia="仿宋_GB2312" w:cs="Calibri"/>
          <w:sz w:val="28"/>
          <w:szCs w:val="28"/>
        </w:rPr>
      </w:pPr>
    </w:p>
    <w:p>
      <w:pPr>
        <w:jc w:val="center"/>
        <w:rPr>
          <w:rFonts w:ascii="Calibri" w:hAnsi="Calibri" w:eastAsia="仿宋_GB2312" w:cs="Calibri"/>
          <w:sz w:val="28"/>
          <w:szCs w:val="28"/>
        </w:rPr>
      </w:pPr>
    </w:p>
    <w:p>
      <w:pPr>
        <w:jc w:val="center"/>
        <w:rPr>
          <w:rFonts w:ascii="仿宋_GB2312" w:hAnsi="仿宋_GB2312" w:eastAsia="仿宋_GB2312" w:cs="仿宋_GB2312"/>
          <w:sz w:val="28"/>
          <w:szCs w:val="28"/>
        </w:rPr>
      </w:pPr>
      <w:r>
        <w:rPr>
          <w:rFonts w:hint="eastAsia" w:ascii="Calibri" w:hAnsi="Calibri" w:eastAsia="仿宋_GB2312" w:cs="Calibri"/>
          <w:sz w:val="28"/>
          <w:szCs w:val="28"/>
        </w:rPr>
        <w:t>图6</w:t>
      </w:r>
    </w:p>
    <w:p>
      <w:pPr>
        <w:numPr>
          <w:ilvl w:val="0"/>
          <w:numId w:val="1"/>
        </w:num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预审</w:t>
      </w:r>
    </w:p>
    <w:p>
      <w:p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受理机构工作人员收到网上预申请后，通过网络比对等方式，完成对预申请信息和材料的信息比对工作，并反馈预审结果。其中，对以专业技术职称或国家职业资格（职业技能等级）条件申请的材料，由全市各级专业技术人员管理服务和职业技能鉴定部门办理材料审核手续，审核通过后各受理机构再对申请材料进行预审。</w:t>
      </w:r>
    </w:p>
    <w:p>
      <w:pPr>
        <w:numPr>
          <w:ilvl w:val="0"/>
          <w:numId w:val="1"/>
        </w:num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转档</w:t>
      </w:r>
    </w:p>
    <w:p>
      <w:p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预审完成后，单位登录申报系统，依次点击办理中—查看办件详情—打印调档函，（图7、</w:t>
      </w:r>
      <w:r>
        <w:rPr>
          <w:rFonts w:ascii="仿宋_GB2312" w:hAnsi="微软雅黑" w:eastAsia="仿宋_GB2312" w:cs="宋体"/>
          <w:color w:val="000000"/>
          <w:kern w:val="0"/>
          <w:sz w:val="32"/>
          <w:szCs w:val="32"/>
        </w:rPr>
        <w:t>图</w:t>
      </w:r>
      <w:r>
        <w:rPr>
          <w:rFonts w:hint="eastAsia" w:ascii="仿宋_GB2312" w:hAnsi="微软雅黑" w:eastAsia="仿宋_GB2312" w:cs="宋体"/>
          <w:color w:val="000000"/>
          <w:kern w:val="0"/>
          <w:sz w:val="32"/>
          <w:szCs w:val="32"/>
        </w:rPr>
        <w:t>8），凭打印的《调档函》到原档案保管机构办理人事档案转移手续。</w:t>
      </w:r>
    </w:p>
    <w:p>
      <w:pPr>
        <w:spacing w:line="600" w:lineRule="exact"/>
        <w:ind w:firstLine="640" w:firstLineChars="200"/>
        <w:rPr>
          <w:rFonts w:ascii="仿宋_GB2312" w:hAnsi="仿宋_GB2312" w:eastAsia="仿宋_GB2312" w:cs="仿宋_GB2312"/>
          <w:sz w:val="28"/>
          <w:szCs w:val="28"/>
        </w:rPr>
      </w:pPr>
      <w:r>
        <w:rPr>
          <w:rFonts w:hint="eastAsia" w:ascii="仿宋_GB2312" w:hAnsi="微软雅黑" w:eastAsia="仿宋_GB2312" w:cs="宋体"/>
          <w:color w:val="000000"/>
          <w:kern w:val="0"/>
          <w:sz w:val="32"/>
          <w:szCs w:val="32"/>
        </w:rPr>
        <w:t>[自助打印《调档函》前,请与原档案保管机构联系，如对方不受理自助打印件的，可携带居民身份证等材料前往各受理机构开具《调档函》</w:t>
      </w:r>
      <w:r>
        <w:rPr>
          <w:rFonts w:hint="eastAsia" w:ascii="仿宋_GB2312" w:hAnsi="仿宋_GB2312" w:eastAsia="仿宋_GB2312" w:cs="仿宋_GB2312"/>
          <w:sz w:val="28"/>
          <w:szCs w:val="28"/>
        </w:rPr>
        <w:t>]。</w:t>
      </w:r>
    </w:p>
    <w:p>
      <w:pPr>
        <w:rPr>
          <w:sz w:val="28"/>
          <w:szCs w:val="28"/>
        </w:rPr>
      </w:pPr>
    </w:p>
    <w:p>
      <w:pPr>
        <w:jc w:val="center"/>
        <w:rPr>
          <w:rFonts w:ascii="仿宋_GB2312" w:hAnsi="仿宋_GB2312" w:eastAsia="仿宋_GB2312" w:cs="仿宋_GB2312"/>
          <w:sz w:val="28"/>
          <w:szCs w:val="28"/>
        </w:rPr>
      </w:pPr>
      <w:r>
        <w:rPr>
          <w:sz w:val="28"/>
          <w:szCs w:val="28"/>
        </w:rPr>
        <w:drawing>
          <wp:anchor distT="0" distB="0" distL="114300" distR="114300" simplePos="0" relativeHeight="251662336" behindDoc="1" locked="0" layoutInCell="1" allowOverlap="1">
            <wp:simplePos x="0" y="0"/>
            <wp:positionH relativeFrom="column">
              <wp:posOffset>245745</wp:posOffset>
            </wp:positionH>
            <wp:positionV relativeFrom="paragraph">
              <wp:posOffset>16510</wp:posOffset>
            </wp:positionV>
            <wp:extent cx="4944745" cy="2710180"/>
            <wp:effectExtent l="0" t="0" r="8255" b="0"/>
            <wp:wrapTight wrapText="bothSides">
              <wp:wrapPolygon>
                <wp:start x="0" y="0"/>
                <wp:lineTo x="0" y="21408"/>
                <wp:lineTo x="21553" y="21408"/>
                <wp:lineTo x="21553" y="0"/>
                <wp:lineTo x="0" y="0"/>
              </wp:wrapPolygon>
            </wp:wrapTight>
            <wp:docPr id="6" name="图片 6"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4745" cy="2710180"/>
                    </a:xfrm>
                    <a:prstGeom prst="rect">
                      <a:avLst/>
                    </a:prstGeom>
                  </pic:spPr>
                </pic:pic>
              </a:graphicData>
            </a:graphic>
          </wp:anchor>
        </w:drawing>
      </w: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图7</w:t>
      </w: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r>
        <w:rPr>
          <w:rFonts w:ascii="仿宋_GB2312" w:hAnsi="仿宋_GB2312" w:eastAsia="仿宋_GB2312" w:cs="仿宋_GB2312"/>
          <w:sz w:val="28"/>
          <w:szCs w:val="28"/>
        </w:rPr>
        <w:drawing>
          <wp:anchor distT="0" distB="0" distL="114300" distR="114300" simplePos="0" relativeHeight="251661312" behindDoc="1" locked="0" layoutInCell="1" allowOverlap="1">
            <wp:simplePos x="0" y="0"/>
            <wp:positionH relativeFrom="column">
              <wp:posOffset>321945</wp:posOffset>
            </wp:positionH>
            <wp:positionV relativeFrom="paragraph">
              <wp:posOffset>6985</wp:posOffset>
            </wp:positionV>
            <wp:extent cx="5105400" cy="3511550"/>
            <wp:effectExtent l="0" t="0" r="0" b="0"/>
            <wp:wrapTight wrapText="bothSides">
              <wp:wrapPolygon>
                <wp:start x="0" y="0"/>
                <wp:lineTo x="0" y="21444"/>
                <wp:lineTo x="21519" y="21444"/>
                <wp:lineTo x="21519" y="0"/>
                <wp:lineTo x="0" y="0"/>
              </wp:wrapPolygon>
            </wp:wrapTight>
            <wp:docPr id="5" name="图片 5" descr="C:\Users\jcy\AppData\Local\Temp\1647585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cy\AppData\Local\Temp\164758533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05400" cy="3511550"/>
                    </a:xfrm>
                    <a:prstGeom prst="rect">
                      <a:avLst/>
                    </a:prstGeom>
                    <a:noFill/>
                    <a:ln>
                      <a:noFill/>
                    </a:ln>
                  </pic:spPr>
                </pic:pic>
              </a:graphicData>
            </a:graphic>
          </wp:anchor>
        </w:drawing>
      </w:r>
    </w:p>
    <w:p>
      <w:pPr>
        <w:ind w:firstLine="3640" w:firstLineChars="1300"/>
        <w:rPr>
          <w:rFonts w:ascii="仿宋_GB2312" w:hAnsi="仿宋_GB2312" w:eastAsia="仿宋_GB2312" w:cs="仿宋_GB2312"/>
          <w:sz w:val="28"/>
          <w:szCs w:val="28"/>
        </w:rPr>
      </w:pPr>
      <w:r>
        <w:rPr>
          <w:rFonts w:hint="eastAsia" w:ascii="仿宋_GB2312" w:hAnsi="仿宋_GB2312" w:eastAsia="仿宋_GB2312" w:cs="仿宋_GB2312"/>
          <w:sz w:val="28"/>
          <w:szCs w:val="28"/>
        </w:rPr>
        <w:t>图8</w:t>
      </w: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rPr>
          <w:rFonts w:ascii="仿宋_GB2312" w:hAnsi="仿宋_GB2312" w:eastAsia="仿宋_GB2312" w:cs="仿宋_GB2312"/>
          <w:sz w:val="28"/>
          <w:szCs w:val="28"/>
        </w:rPr>
      </w:pPr>
    </w:p>
    <w:p>
      <w:p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二、公示</w:t>
      </w:r>
    </w:p>
    <w:p>
      <w:pPr>
        <w:numPr>
          <w:ilvl w:val="0"/>
          <w:numId w:val="2"/>
        </w:num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社会公示</w:t>
      </w:r>
    </w:p>
    <w:p>
      <w:pPr>
        <w:spacing w:line="600" w:lineRule="exact"/>
        <w:ind w:firstLine="640" w:firstLineChars="200"/>
        <w:rPr>
          <w:rFonts w:ascii="仿宋_GB2312" w:hAnsi="微软雅黑" w:eastAsia="仿宋_GB2312" w:cs="宋体"/>
          <w:color w:val="000000"/>
          <w:kern w:val="0"/>
          <w:sz w:val="32"/>
          <w:szCs w:val="32"/>
        </w:rPr>
      </w:pPr>
      <w:r>
        <w:rPr>
          <w:rFonts w:ascii="仿宋_GB2312" w:hAnsi="微软雅黑" w:eastAsia="仿宋_GB2312" w:cs="宋体"/>
          <w:color w:val="000000"/>
          <w:kern w:val="0"/>
          <w:sz w:val="32"/>
          <w:szCs w:val="32"/>
        </w:rPr>
        <w:drawing>
          <wp:anchor distT="0" distB="0" distL="114300" distR="114300" simplePos="0" relativeHeight="251660288" behindDoc="1" locked="0" layoutInCell="1" allowOverlap="1">
            <wp:simplePos x="0" y="0"/>
            <wp:positionH relativeFrom="margin">
              <wp:align>left</wp:align>
            </wp:positionH>
            <wp:positionV relativeFrom="paragraph">
              <wp:posOffset>1616075</wp:posOffset>
            </wp:positionV>
            <wp:extent cx="5688330" cy="3230880"/>
            <wp:effectExtent l="0" t="0" r="7620" b="7620"/>
            <wp:wrapTight wrapText="bothSides">
              <wp:wrapPolygon>
                <wp:start x="0" y="0"/>
                <wp:lineTo x="0" y="21524"/>
                <wp:lineTo x="21557" y="21524"/>
                <wp:lineTo x="21557" y="0"/>
                <wp:lineTo x="0" y="0"/>
              </wp:wrapPolygon>
            </wp:wrapTight>
            <wp:docPr id="7" name="图片 7" descr="C:\Users\jcy\AppData\Local\Temp\1647587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cy\AppData\Local\Temp\16475876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88330" cy="3230981"/>
                    </a:xfrm>
                    <a:prstGeom prst="rect">
                      <a:avLst/>
                    </a:prstGeom>
                    <a:noFill/>
                    <a:ln>
                      <a:noFill/>
                    </a:ln>
                  </pic:spPr>
                </pic:pic>
              </a:graphicData>
            </a:graphic>
          </wp:anchor>
        </w:drawing>
      </w:r>
      <w:r>
        <w:rPr>
          <w:rFonts w:hint="eastAsia" w:ascii="仿宋_GB2312" w:hAnsi="微软雅黑" w:eastAsia="仿宋_GB2312" w:cs="宋体"/>
          <w:color w:val="000000"/>
          <w:kern w:val="0"/>
          <w:sz w:val="32"/>
          <w:szCs w:val="32"/>
        </w:rPr>
        <w:t>经预审，申报材料基本符合要求的，将在江苏人社网办大厅公示公告栏内进行社会公示（网址：</w:t>
      </w:r>
      <w:r>
        <w:fldChar w:fldCharType="begin"/>
      </w:r>
      <w:r>
        <w:instrText xml:space="preserve"> HYPERLINK "https://rs.jshrss.jiangsu.gov.cn/" </w:instrText>
      </w:r>
      <w:r>
        <w:fldChar w:fldCharType="separate"/>
      </w:r>
      <w:r>
        <w:rPr>
          <w:rFonts w:ascii="仿宋_GB2312" w:hAnsi="微软雅黑" w:cs="宋体"/>
          <w:color w:val="000000"/>
          <w:kern w:val="0"/>
          <w:sz w:val="32"/>
          <w:szCs w:val="32"/>
        </w:rPr>
        <w:t>https://rs.jshrss.jiangsu.gov.cn</w:t>
      </w:r>
      <w:r>
        <w:rPr>
          <w:rFonts w:ascii="仿宋_GB2312" w:hAnsi="微软雅黑" w:cs="宋体"/>
          <w:color w:val="000000"/>
          <w:kern w:val="0"/>
          <w:sz w:val="32"/>
          <w:szCs w:val="32"/>
        </w:rPr>
        <w:fldChar w:fldCharType="end"/>
      </w:r>
      <w:r>
        <w:rPr>
          <w:rFonts w:hint="eastAsia" w:ascii="仿宋_GB2312" w:hAnsi="微软雅黑" w:eastAsia="仿宋_GB2312" w:cs="宋体"/>
          <w:color w:val="000000"/>
          <w:kern w:val="0"/>
          <w:sz w:val="32"/>
          <w:szCs w:val="32"/>
        </w:rPr>
        <w:t>）（图</w:t>
      </w:r>
      <w:r>
        <w:rPr>
          <w:rFonts w:ascii="仿宋_GB2312" w:hAnsi="微软雅黑" w:eastAsia="仿宋_GB2312" w:cs="宋体"/>
          <w:color w:val="000000"/>
          <w:kern w:val="0"/>
          <w:sz w:val="32"/>
          <w:szCs w:val="32"/>
        </w:rPr>
        <w:t>9</w:t>
      </w:r>
      <w:r>
        <w:rPr>
          <w:rFonts w:hint="eastAsia" w:ascii="仿宋_GB2312" w:hAnsi="微软雅黑" w:eastAsia="仿宋_GB2312" w:cs="宋体"/>
          <w:color w:val="000000"/>
          <w:kern w:val="0"/>
          <w:sz w:val="32"/>
          <w:szCs w:val="32"/>
        </w:rPr>
        <w:t>），公示期为五个工作日；</w:t>
      </w:r>
    </w:p>
    <w:p>
      <w:pPr>
        <w:rPr>
          <w:sz w:val="28"/>
          <w:szCs w:val="28"/>
        </w:rPr>
      </w:pPr>
      <w:r>
        <w:rPr>
          <w:rFonts w:hint="eastAsia"/>
          <w:sz w:val="28"/>
          <w:szCs w:val="28"/>
        </w:rPr>
        <w:t xml:space="preserve">                            图9</w:t>
      </w:r>
    </w:p>
    <w:p>
      <w:pPr>
        <w:rPr>
          <w:sz w:val="28"/>
          <w:szCs w:val="28"/>
        </w:rPr>
      </w:pPr>
    </w:p>
    <w:p>
      <w:pPr>
        <w:rPr>
          <w:sz w:val="28"/>
          <w:szCs w:val="28"/>
        </w:rPr>
      </w:pPr>
    </w:p>
    <w:p>
      <w:pPr>
        <w:numPr>
          <w:ilvl w:val="0"/>
          <w:numId w:val="2"/>
        </w:num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单位公示</w:t>
      </w:r>
    </w:p>
    <w:p>
      <w:p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经预审，申报材料基本符合要求的，应当在单位内部公示栏或信息系统进行公示，张贴《苏州市拟落户人员申请单位内部公示榜》，公示期不得少于五个工作日。</w:t>
      </w:r>
    </w:p>
    <w:p>
      <w:p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对公示情况有异议的，受理机构自接到举报材料之日起30个工作日内会同相关部门组织开展调查核实，并告知核实结果。</w:t>
      </w:r>
    </w:p>
    <w:p>
      <w:pPr>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三、审档</w:t>
      </w:r>
    </w:p>
    <w:p>
      <w:pPr>
        <w:spacing w:line="600" w:lineRule="exact"/>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 xml:space="preserve">   档案转入受理机构且</w:t>
      </w:r>
      <w:r>
        <w:rPr>
          <w:rFonts w:ascii="仿宋_GB2312" w:hAnsi="微软雅黑" w:eastAsia="仿宋_GB2312" w:cs="宋体"/>
          <w:color w:val="000000"/>
          <w:kern w:val="0"/>
          <w:sz w:val="32"/>
          <w:szCs w:val="32"/>
        </w:rPr>
        <w:t>公示无异议的</w:t>
      </w:r>
      <w:r>
        <w:rPr>
          <w:rFonts w:hint="eastAsia" w:ascii="仿宋_GB2312" w:hAnsi="微软雅黑" w:eastAsia="仿宋_GB2312" w:cs="宋体"/>
          <w:color w:val="000000"/>
          <w:kern w:val="0"/>
          <w:sz w:val="32"/>
          <w:szCs w:val="32"/>
        </w:rPr>
        <w:t>，受理机构工作人员将对其进行审核。档案里反映的学历、学位或专业技术职称等材料应当齐全、真实、有效。</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（一）申请单位有档案保管权限的，在档案转入单位后由单位负责档案审核工作，并向受理机构提交《苏州市人才落户人事档案情况核实表》；</w:t>
      </w:r>
    </w:p>
    <w:p>
      <w:pPr>
        <w:spacing w:line="600" w:lineRule="exact"/>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 xml:space="preserve">    （二）档案转入受理机构后，经工作人员审核缺少关键档案材料的，由受理机构出具《苏州市人才落户缺少档案材料告知书》，一次性告知所缺材料及其可能造成的影响。</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四、材料提交</w:t>
      </w:r>
    </w:p>
    <w:p>
      <w:pPr>
        <w:spacing w:line="600" w:lineRule="exact"/>
        <w:ind w:firstLine="640" w:firstLineChars="200"/>
        <w:jc w:val="left"/>
        <w:rPr>
          <w:rFonts w:ascii="仿宋_GB2312" w:hAnsi="微软雅黑" w:eastAsia="仿宋_GB2312" w:cs="宋体"/>
          <w:color w:val="000000"/>
          <w:kern w:val="0"/>
          <w:sz w:val="32"/>
          <w:szCs w:val="32"/>
        </w:rPr>
      </w:pPr>
      <w:r>
        <w:rPr>
          <w:rFonts w:ascii="仿宋_GB2312" w:hAnsi="微软雅黑" w:eastAsia="仿宋_GB2312" w:cs="宋体"/>
          <w:color w:val="000000"/>
          <w:kern w:val="0"/>
          <w:sz w:val="32"/>
          <w:szCs w:val="32"/>
        </w:rPr>
        <w:t>除预申请时已提交的合规材料外，应按</w:t>
      </w:r>
      <w:r>
        <w:rPr>
          <w:rFonts w:hint="eastAsia" w:ascii="仿宋_GB2312" w:hAnsi="微软雅黑" w:eastAsia="仿宋_GB2312" w:cs="宋体"/>
          <w:color w:val="000000"/>
          <w:kern w:val="0"/>
          <w:sz w:val="32"/>
          <w:szCs w:val="32"/>
        </w:rPr>
        <w:t>要求，</w:t>
      </w:r>
      <w:r>
        <w:rPr>
          <w:rFonts w:ascii="仿宋_GB2312" w:hAnsi="微软雅黑" w:eastAsia="仿宋_GB2312" w:cs="宋体"/>
          <w:color w:val="000000"/>
          <w:kern w:val="0"/>
          <w:sz w:val="32"/>
          <w:szCs w:val="32"/>
        </w:rPr>
        <w:t>通过</w:t>
      </w:r>
      <w:r>
        <w:rPr>
          <w:rFonts w:hint="eastAsia" w:ascii="仿宋_GB2312" w:hAnsi="微软雅黑" w:eastAsia="仿宋_GB2312" w:cs="宋体"/>
          <w:color w:val="000000"/>
          <w:kern w:val="0"/>
          <w:sz w:val="32"/>
          <w:szCs w:val="32"/>
        </w:rPr>
        <w:t>单位登录申报系统“单位</w:t>
      </w:r>
      <w:r>
        <w:rPr>
          <w:rFonts w:ascii="仿宋_GB2312" w:hAnsi="微软雅黑" w:eastAsia="仿宋_GB2312" w:cs="宋体"/>
          <w:color w:val="000000"/>
          <w:kern w:val="0"/>
          <w:sz w:val="32"/>
          <w:szCs w:val="32"/>
        </w:rPr>
        <w:t>中心</w:t>
      </w:r>
      <w:r>
        <w:rPr>
          <w:rFonts w:hint="eastAsia" w:ascii="仿宋_GB2312" w:hAnsi="微软雅黑" w:eastAsia="仿宋_GB2312" w:cs="宋体"/>
          <w:color w:val="000000"/>
          <w:kern w:val="0"/>
          <w:sz w:val="32"/>
          <w:szCs w:val="32"/>
        </w:rPr>
        <w:t>”—“单位办件”—“修改”，根据</w:t>
      </w:r>
      <w:r>
        <w:rPr>
          <w:rFonts w:ascii="仿宋_GB2312" w:hAnsi="微软雅黑" w:eastAsia="仿宋_GB2312" w:cs="宋体"/>
          <w:color w:val="000000"/>
          <w:kern w:val="0"/>
          <w:sz w:val="32"/>
          <w:szCs w:val="32"/>
        </w:rPr>
        <w:t>提示，</w:t>
      </w:r>
      <w:r>
        <w:rPr>
          <w:rFonts w:hint="eastAsia" w:ascii="仿宋_GB2312" w:hAnsi="微软雅黑" w:eastAsia="仿宋_GB2312" w:cs="宋体"/>
          <w:color w:val="000000"/>
          <w:kern w:val="0"/>
          <w:sz w:val="32"/>
          <w:szCs w:val="32"/>
        </w:rPr>
        <w:t>在</w:t>
      </w:r>
      <w:r>
        <w:rPr>
          <w:rFonts w:ascii="仿宋_GB2312" w:hAnsi="微软雅黑" w:eastAsia="仿宋_GB2312" w:cs="宋体"/>
          <w:color w:val="000000"/>
          <w:kern w:val="0"/>
          <w:sz w:val="32"/>
          <w:szCs w:val="32"/>
        </w:rPr>
        <w:t>页面右侧“</w:t>
      </w:r>
      <w:r>
        <w:rPr>
          <w:rFonts w:hint="eastAsia" w:ascii="仿宋_GB2312" w:hAnsi="微软雅黑" w:eastAsia="仿宋_GB2312" w:cs="宋体"/>
          <w:color w:val="000000"/>
          <w:kern w:val="0"/>
          <w:sz w:val="32"/>
          <w:szCs w:val="32"/>
        </w:rPr>
        <w:t>材料</w:t>
      </w:r>
      <w:r>
        <w:rPr>
          <w:rFonts w:ascii="仿宋_GB2312" w:hAnsi="微软雅黑" w:eastAsia="仿宋_GB2312" w:cs="宋体"/>
          <w:color w:val="000000"/>
          <w:kern w:val="0"/>
          <w:sz w:val="32"/>
          <w:szCs w:val="32"/>
        </w:rPr>
        <w:t>列表”</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图</w:t>
      </w:r>
      <w:r>
        <w:rPr>
          <w:rFonts w:hint="eastAsia" w:ascii="仿宋_GB2312" w:hAnsi="微软雅黑" w:eastAsia="仿宋_GB2312" w:cs="宋体"/>
          <w:color w:val="000000"/>
          <w:kern w:val="0"/>
          <w:sz w:val="32"/>
          <w:szCs w:val="32"/>
        </w:rPr>
        <w:t>10、</w:t>
      </w:r>
      <w:r>
        <w:rPr>
          <w:rFonts w:ascii="仿宋_GB2312" w:hAnsi="微软雅黑" w:eastAsia="仿宋_GB2312" w:cs="宋体"/>
          <w:color w:val="000000"/>
          <w:kern w:val="0"/>
          <w:sz w:val="32"/>
          <w:szCs w:val="32"/>
        </w:rPr>
        <w:t>图</w:t>
      </w:r>
      <w:r>
        <w:rPr>
          <w:rFonts w:hint="eastAsia" w:ascii="仿宋_GB2312" w:hAnsi="微软雅黑" w:eastAsia="仿宋_GB2312" w:cs="宋体"/>
          <w:color w:val="000000"/>
          <w:kern w:val="0"/>
          <w:sz w:val="32"/>
          <w:szCs w:val="32"/>
        </w:rPr>
        <w:t>11）处</w:t>
      </w:r>
      <w:r>
        <w:rPr>
          <w:rFonts w:ascii="仿宋_GB2312" w:hAnsi="微软雅黑" w:eastAsia="仿宋_GB2312" w:cs="宋体"/>
          <w:color w:val="000000"/>
          <w:kern w:val="0"/>
          <w:sz w:val="32"/>
          <w:szCs w:val="32"/>
        </w:rPr>
        <w:t>，上传相关补充材料</w:t>
      </w:r>
      <w:r>
        <w:rPr>
          <w:rFonts w:hint="eastAsia" w:ascii="仿宋_GB2312" w:hAnsi="微软雅黑" w:eastAsia="仿宋_GB2312" w:cs="宋体"/>
          <w:color w:val="000000"/>
          <w:kern w:val="0"/>
          <w:sz w:val="32"/>
          <w:szCs w:val="32"/>
        </w:rPr>
        <w:t>（材料</w:t>
      </w:r>
      <w:r>
        <w:rPr>
          <w:rFonts w:ascii="仿宋_GB2312" w:hAnsi="微软雅黑" w:eastAsia="仿宋_GB2312" w:cs="宋体"/>
          <w:color w:val="000000"/>
          <w:kern w:val="0"/>
          <w:sz w:val="32"/>
          <w:szCs w:val="32"/>
        </w:rPr>
        <w:t>模板和空白表可在页面下方的“</w:t>
      </w:r>
      <w:r>
        <w:rPr>
          <w:rFonts w:hint="eastAsia" w:ascii="仿宋_GB2312" w:hAnsi="微软雅黑" w:eastAsia="仿宋_GB2312" w:cs="宋体"/>
          <w:color w:val="000000"/>
          <w:kern w:val="0"/>
          <w:sz w:val="32"/>
          <w:szCs w:val="32"/>
        </w:rPr>
        <w:t>材料</w:t>
      </w:r>
      <w:r>
        <w:rPr>
          <w:rFonts w:ascii="仿宋_GB2312" w:hAnsi="微软雅黑" w:eastAsia="仿宋_GB2312" w:cs="宋体"/>
          <w:color w:val="000000"/>
          <w:kern w:val="0"/>
          <w:sz w:val="32"/>
          <w:szCs w:val="32"/>
        </w:rPr>
        <w:t>模板下载”</w:t>
      </w:r>
      <w:r>
        <w:rPr>
          <w:rFonts w:hint="eastAsia" w:ascii="仿宋_GB2312" w:hAnsi="微软雅黑" w:eastAsia="仿宋_GB2312" w:cs="宋体"/>
          <w:color w:val="000000"/>
          <w:kern w:val="0"/>
          <w:sz w:val="32"/>
          <w:szCs w:val="32"/>
        </w:rPr>
        <w:t>中</w:t>
      </w:r>
      <w:r>
        <w:rPr>
          <w:rFonts w:ascii="仿宋_GB2312" w:hAnsi="微软雅黑" w:eastAsia="仿宋_GB2312" w:cs="宋体"/>
          <w:color w:val="000000"/>
          <w:kern w:val="0"/>
          <w:sz w:val="32"/>
          <w:szCs w:val="32"/>
        </w:rPr>
        <w:t>查看和</w:t>
      </w:r>
      <w:r>
        <w:rPr>
          <w:rFonts w:hint="eastAsia" w:ascii="仿宋_GB2312" w:hAnsi="微软雅黑" w:eastAsia="仿宋_GB2312" w:cs="宋体"/>
          <w:color w:val="000000"/>
          <w:kern w:val="0"/>
          <w:sz w:val="32"/>
          <w:szCs w:val="32"/>
        </w:rPr>
        <w:t>下载）。</w:t>
      </w:r>
      <w:r>
        <w:rPr>
          <w:rFonts w:ascii="仿宋_GB2312" w:hAnsi="微软雅黑" w:eastAsia="仿宋_GB2312" w:cs="宋体"/>
          <w:color w:val="000000"/>
          <w:kern w:val="0"/>
          <w:sz w:val="32"/>
          <w:szCs w:val="32"/>
        </w:rPr>
        <w:t>补充</w:t>
      </w:r>
      <w:r>
        <w:rPr>
          <w:rFonts w:hint="eastAsia" w:ascii="仿宋_GB2312" w:hAnsi="微软雅黑" w:eastAsia="仿宋_GB2312" w:cs="宋体"/>
          <w:color w:val="000000"/>
          <w:kern w:val="0"/>
          <w:sz w:val="32"/>
          <w:szCs w:val="32"/>
        </w:rPr>
        <w:t>材料主要</w:t>
      </w:r>
      <w:r>
        <w:rPr>
          <w:rFonts w:ascii="仿宋_GB2312" w:hAnsi="微软雅黑" w:eastAsia="仿宋_GB2312" w:cs="宋体"/>
          <w:color w:val="000000"/>
          <w:kern w:val="0"/>
          <w:sz w:val="32"/>
          <w:szCs w:val="32"/>
        </w:rPr>
        <w:t>包括：</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1、单位填写确认的</w:t>
      </w:r>
      <w:r>
        <w:rPr>
          <w:rFonts w:ascii="仿宋_GB2312" w:hAnsi="微软雅黑" w:eastAsia="仿宋_GB2312" w:cs="宋体"/>
          <w:color w:val="000000"/>
          <w:kern w:val="0"/>
          <w:sz w:val="32"/>
          <w:szCs w:val="32"/>
        </w:rPr>
        <w:t>《苏州市拟落户人员申请单位内部公示回执》；</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2、档案审核缺少关键档案材料的，本人应作出书面知情说明并提交《承诺补充档案材料书》；</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3、符合条件并且同意办理户口一站式迁移的人员提交：</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（1）江苏省内户口迁入的，上传《电子准迁证申请书》；</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（2）</w:t>
      </w:r>
      <w:r>
        <w:rPr>
          <w:rFonts w:ascii="仿宋_GB2312" w:hAnsi="微软雅黑" w:eastAsia="仿宋_GB2312" w:cs="宋体"/>
          <w:color w:val="000000"/>
          <w:kern w:val="0"/>
          <w:sz w:val="32"/>
          <w:szCs w:val="32"/>
        </w:rPr>
        <w:t>江苏省外长三角区域</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上海、浙江、安徽</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家庭户</w:t>
      </w:r>
      <w:r>
        <w:rPr>
          <w:rFonts w:hint="eastAsia" w:ascii="仿宋_GB2312" w:hAnsi="微软雅黑" w:eastAsia="仿宋_GB2312" w:cs="宋体"/>
          <w:color w:val="000000"/>
          <w:kern w:val="0"/>
          <w:sz w:val="32"/>
          <w:szCs w:val="32"/>
        </w:rPr>
        <w:t>迁入的，</w:t>
      </w:r>
      <w:r>
        <w:rPr>
          <w:rFonts w:ascii="仿宋_GB2312" w:hAnsi="微软雅黑" w:eastAsia="仿宋_GB2312" w:cs="宋体"/>
          <w:color w:val="000000"/>
          <w:kern w:val="0"/>
          <w:sz w:val="32"/>
          <w:szCs w:val="32"/>
        </w:rPr>
        <w:t>上传</w:t>
      </w:r>
      <w:r>
        <w:rPr>
          <w:rFonts w:hint="eastAsia" w:ascii="仿宋_GB2312" w:hAnsi="微软雅黑" w:eastAsia="仿宋_GB2312" w:cs="宋体"/>
          <w:color w:val="000000"/>
          <w:kern w:val="0"/>
          <w:sz w:val="32"/>
          <w:szCs w:val="32"/>
        </w:rPr>
        <w:t>《长三角</w:t>
      </w:r>
      <w:r>
        <w:rPr>
          <w:rFonts w:ascii="仿宋_GB2312" w:hAnsi="微软雅黑" w:eastAsia="仿宋_GB2312" w:cs="宋体"/>
          <w:color w:val="000000"/>
          <w:kern w:val="0"/>
          <w:sz w:val="32"/>
          <w:szCs w:val="32"/>
        </w:rPr>
        <w:t>区域跨省</w:t>
      </w:r>
      <w:r>
        <w:rPr>
          <w:rFonts w:hint="eastAsia" w:ascii="仿宋_GB2312" w:hAnsi="微软雅黑" w:eastAsia="仿宋_GB2312" w:cs="宋体"/>
          <w:color w:val="000000"/>
          <w:kern w:val="0"/>
          <w:sz w:val="32"/>
          <w:szCs w:val="32"/>
        </w:rPr>
        <w:t>户口</w:t>
      </w:r>
      <w:r>
        <w:rPr>
          <w:rFonts w:ascii="仿宋_GB2312" w:hAnsi="微软雅黑" w:eastAsia="仿宋_GB2312" w:cs="宋体"/>
          <w:color w:val="000000"/>
          <w:kern w:val="0"/>
          <w:sz w:val="32"/>
          <w:szCs w:val="32"/>
        </w:rPr>
        <w:t>网上迁移</w:t>
      </w:r>
      <w:r>
        <w:rPr>
          <w:rFonts w:hint="eastAsia" w:ascii="仿宋_GB2312" w:hAnsi="微软雅黑" w:eastAsia="仿宋_GB2312" w:cs="宋体"/>
          <w:color w:val="000000"/>
          <w:kern w:val="0"/>
          <w:sz w:val="32"/>
          <w:szCs w:val="32"/>
        </w:rPr>
        <w:t>电子</w:t>
      </w:r>
      <w:r>
        <w:rPr>
          <w:rFonts w:ascii="仿宋_GB2312" w:hAnsi="微软雅黑" w:eastAsia="仿宋_GB2312" w:cs="宋体"/>
          <w:color w:val="000000"/>
          <w:kern w:val="0"/>
          <w:sz w:val="32"/>
          <w:szCs w:val="32"/>
        </w:rPr>
        <w:t>准迁证申请表</w:t>
      </w:r>
      <w:r>
        <w:rPr>
          <w:rFonts w:hint="eastAsia" w:ascii="仿宋_GB2312" w:hAnsi="微软雅黑" w:eastAsia="仿宋_GB2312" w:cs="宋体"/>
          <w:color w:val="000000"/>
          <w:kern w:val="0"/>
          <w:sz w:val="32"/>
          <w:szCs w:val="32"/>
        </w:rPr>
        <w:t>》《长三角</w:t>
      </w:r>
      <w:r>
        <w:rPr>
          <w:rFonts w:ascii="仿宋_GB2312" w:hAnsi="微软雅黑" w:eastAsia="仿宋_GB2312" w:cs="宋体"/>
          <w:color w:val="000000"/>
          <w:kern w:val="0"/>
          <w:sz w:val="32"/>
          <w:szCs w:val="32"/>
        </w:rPr>
        <w:t>区域跨省</w:t>
      </w:r>
      <w:r>
        <w:rPr>
          <w:rFonts w:hint="eastAsia" w:ascii="仿宋_GB2312" w:hAnsi="微软雅黑" w:eastAsia="仿宋_GB2312" w:cs="宋体"/>
          <w:color w:val="000000"/>
          <w:kern w:val="0"/>
          <w:sz w:val="32"/>
          <w:szCs w:val="32"/>
        </w:rPr>
        <w:t>户口</w:t>
      </w:r>
      <w:r>
        <w:rPr>
          <w:rFonts w:ascii="仿宋_GB2312" w:hAnsi="微软雅黑" w:eastAsia="仿宋_GB2312" w:cs="宋体"/>
          <w:color w:val="000000"/>
          <w:kern w:val="0"/>
          <w:sz w:val="32"/>
          <w:szCs w:val="32"/>
        </w:rPr>
        <w:t>网上迁移</w:t>
      </w:r>
      <w:r>
        <w:rPr>
          <w:rFonts w:hint="eastAsia" w:ascii="仿宋_GB2312" w:hAnsi="微软雅黑" w:eastAsia="仿宋_GB2312" w:cs="宋体"/>
          <w:color w:val="000000"/>
          <w:kern w:val="0"/>
          <w:sz w:val="32"/>
          <w:szCs w:val="32"/>
        </w:rPr>
        <w:t>告知单》</w:t>
      </w:r>
      <w:r>
        <w:rPr>
          <w:rFonts w:ascii="仿宋_GB2312" w:hAnsi="微软雅黑" w:eastAsia="仿宋_GB2312" w:cs="宋体"/>
          <w:color w:val="000000"/>
          <w:kern w:val="0"/>
          <w:sz w:val="32"/>
          <w:szCs w:val="32"/>
        </w:rPr>
        <w:t>；</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4、</w:t>
      </w:r>
      <w:r>
        <w:rPr>
          <w:rFonts w:ascii="仿宋_GB2312" w:hAnsi="微软雅黑" w:eastAsia="仿宋_GB2312" w:cs="宋体"/>
          <w:color w:val="000000"/>
          <w:kern w:val="0"/>
          <w:sz w:val="32"/>
          <w:szCs w:val="32"/>
        </w:rPr>
        <w:t>补正的其他材料。</w:t>
      </w: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r>
        <w:rPr>
          <w:rFonts w:ascii="仿宋_GB2312" w:hAnsi="仿宋_GB2312" w:eastAsia="仿宋_GB2312" w:cs="仿宋_GB2312"/>
          <w:sz w:val="28"/>
          <w:szCs w:val="28"/>
        </w:rPr>
        <w:drawing>
          <wp:anchor distT="0" distB="0" distL="114300" distR="114300" simplePos="0" relativeHeight="251663360" behindDoc="1" locked="0" layoutInCell="1" allowOverlap="1">
            <wp:simplePos x="0" y="0"/>
            <wp:positionH relativeFrom="column">
              <wp:posOffset>1270</wp:posOffset>
            </wp:positionH>
            <wp:positionV relativeFrom="paragraph">
              <wp:posOffset>9525</wp:posOffset>
            </wp:positionV>
            <wp:extent cx="5069205" cy="3446780"/>
            <wp:effectExtent l="0" t="0" r="0" b="1270"/>
            <wp:wrapTight wrapText="bothSides">
              <wp:wrapPolygon>
                <wp:start x="0" y="0"/>
                <wp:lineTo x="0" y="21489"/>
                <wp:lineTo x="21511" y="21489"/>
                <wp:lineTo x="21511" y="0"/>
                <wp:lineTo x="0" y="0"/>
              </wp:wrapPolygon>
            </wp:wrapTight>
            <wp:docPr id="12" name="图片 12" descr="C:\Users\jcy\AppData\Local\Temp\1647586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cy\AppData\Local\Temp\1647586514(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69205" cy="3446780"/>
                    </a:xfrm>
                    <a:prstGeom prst="rect">
                      <a:avLst/>
                    </a:prstGeom>
                    <a:noFill/>
                    <a:ln>
                      <a:noFill/>
                    </a:ln>
                  </pic:spPr>
                </pic:pic>
              </a:graphicData>
            </a:graphic>
          </wp:anchor>
        </w:drawing>
      </w: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图10</w:t>
      </w:r>
    </w:p>
    <w:p>
      <w:pPr>
        <w:jc w:val="center"/>
        <w:rPr>
          <w:rFonts w:ascii="仿宋_GB2312" w:hAnsi="仿宋_GB2312" w:eastAsia="仿宋_GB2312" w:cs="仿宋_GB2312"/>
          <w:sz w:val="28"/>
          <w:szCs w:val="28"/>
        </w:rPr>
      </w:pPr>
      <w:r>
        <w:rPr>
          <w:rFonts w:ascii="仿宋_GB2312" w:hAnsi="仿宋_GB2312" w:eastAsia="仿宋_GB2312" w:cs="仿宋_GB2312"/>
          <w:sz w:val="28"/>
          <w:szCs w:val="28"/>
        </w:rPr>
        <w:drawing>
          <wp:anchor distT="0" distB="0" distL="114300" distR="114300" simplePos="0" relativeHeight="251664384" behindDoc="1" locked="0" layoutInCell="1" allowOverlap="1">
            <wp:simplePos x="0" y="0"/>
            <wp:positionH relativeFrom="column">
              <wp:posOffset>-173990</wp:posOffset>
            </wp:positionH>
            <wp:positionV relativeFrom="paragraph">
              <wp:posOffset>361950</wp:posOffset>
            </wp:positionV>
            <wp:extent cx="5688330" cy="3051810"/>
            <wp:effectExtent l="0" t="0" r="7620" b="0"/>
            <wp:wrapTight wrapText="bothSides">
              <wp:wrapPolygon>
                <wp:start x="0" y="0"/>
                <wp:lineTo x="0" y="21438"/>
                <wp:lineTo x="21557" y="21438"/>
                <wp:lineTo x="21557" y="0"/>
                <wp:lineTo x="0" y="0"/>
              </wp:wrapPolygon>
            </wp:wrapTight>
            <wp:docPr id="13" name="图片 13" descr="C:\Users\jcy\AppData\Local\Temp\1647587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cy\AppData\Local\Temp\164758716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88330" cy="3052115"/>
                    </a:xfrm>
                    <a:prstGeom prst="rect">
                      <a:avLst/>
                    </a:prstGeom>
                    <a:noFill/>
                    <a:ln>
                      <a:noFill/>
                    </a:ln>
                  </pic:spPr>
                </pic:pic>
              </a:graphicData>
            </a:graphic>
          </wp:anchor>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图11</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五、申请受理</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受理机构自收到申请材料3个工作日内确定受理或不受理。对符合落户条件、申请材料齐全的进入审核流程。</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对不符合落户条件的或存在苏州市人力资源和社会保障局、苏州市公安局《关于印发＜关于落实苏州市调整人才落户相关政策的操作细则＞的通知》（苏人保〔2020〕7 号）（以下简称《细则》）规定的不予受理情形之一的，告知不受理的理由。申请材料不齐全的，一次性告知需要补正的材料。</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六、审核</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材料齐全的，受理机构自受理之日起5个工作日内组织审核和审批。对符合落户条件的，在受理机构负责人同意后签发《苏州市人才落户登记表》，并转递至拟落户地公安机关。</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对申请单位存在《细则》中规定的审核不予通过情形之一的，由受理机构反馈信息，并说明理由。</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七、户籍迁移</w:t>
      </w:r>
    </w:p>
    <w:p>
      <w:pPr>
        <w:spacing w:line="600" w:lineRule="exact"/>
        <w:ind w:firstLine="640" w:firstLineChars="200"/>
        <w:jc w:val="left"/>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拟落户人员根据公安机关的告知和要求办理户口迁移和落户手续。</w:t>
      </w:r>
    </w:p>
    <w:p>
      <w:pPr>
        <w:spacing w:line="600" w:lineRule="exact"/>
        <w:ind w:firstLine="640" w:firstLineChars="200"/>
        <w:jc w:val="left"/>
        <w:rPr>
          <w:rFonts w:ascii="仿宋_GB2312" w:hAnsi="微软雅黑" w:eastAsia="仿宋_GB2312" w:cs="宋体"/>
          <w:color w:val="000000"/>
          <w:kern w:val="0"/>
          <w:sz w:val="32"/>
          <w:szCs w:val="32"/>
        </w:rPr>
      </w:pPr>
    </w:p>
    <w:p>
      <w:pPr>
        <w:spacing w:line="600" w:lineRule="exact"/>
        <w:ind w:firstLine="640" w:firstLineChars="200"/>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注</w:t>
      </w:r>
      <w:r>
        <w:rPr>
          <w:rFonts w:ascii="仿宋_GB2312" w:hAnsi="微软雅黑" w:eastAsia="仿宋_GB2312" w:cs="宋体"/>
          <w:color w:val="000000"/>
          <w:kern w:val="0"/>
          <w:sz w:val="32"/>
          <w:szCs w:val="32"/>
        </w:rPr>
        <w:t>：查看办理进度，可</w:t>
      </w:r>
      <w:r>
        <w:rPr>
          <w:rFonts w:hint="eastAsia" w:ascii="仿宋_GB2312" w:hAnsi="微软雅黑" w:eastAsia="仿宋_GB2312" w:cs="宋体"/>
          <w:color w:val="000000"/>
          <w:kern w:val="0"/>
          <w:sz w:val="32"/>
          <w:szCs w:val="32"/>
        </w:rPr>
        <w:t>在“单位</w:t>
      </w:r>
      <w:r>
        <w:rPr>
          <w:rFonts w:ascii="仿宋_GB2312" w:hAnsi="微软雅黑" w:eastAsia="仿宋_GB2312" w:cs="宋体"/>
          <w:color w:val="000000"/>
          <w:kern w:val="0"/>
          <w:sz w:val="32"/>
          <w:szCs w:val="32"/>
        </w:rPr>
        <w:t>中心</w:t>
      </w:r>
      <w:r>
        <w:rPr>
          <w:rFonts w:hint="eastAsia" w:ascii="仿宋_GB2312" w:hAnsi="微软雅黑" w:eastAsia="仿宋_GB2312" w:cs="宋体"/>
          <w:color w:val="000000"/>
          <w:kern w:val="0"/>
          <w:sz w:val="32"/>
          <w:szCs w:val="32"/>
        </w:rPr>
        <w:t>”-</w:t>
      </w:r>
      <w:r>
        <w:rPr>
          <w:rFonts w:ascii="仿宋_GB2312" w:hAnsi="微软雅黑" w:eastAsia="仿宋_GB2312" w:cs="宋体"/>
          <w:color w:val="000000"/>
          <w:kern w:val="0"/>
          <w:sz w:val="32"/>
          <w:szCs w:val="32"/>
        </w:rPr>
        <w:t>“</w:t>
      </w:r>
      <w:r>
        <w:rPr>
          <w:rFonts w:hint="eastAsia" w:ascii="仿宋_GB2312" w:hAnsi="微软雅黑" w:eastAsia="仿宋_GB2312" w:cs="宋体"/>
          <w:color w:val="000000"/>
          <w:kern w:val="0"/>
          <w:sz w:val="32"/>
          <w:szCs w:val="32"/>
        </w:rPr>
        <w:t>单位</w:t>
      </w:r>
      <w:r>
        <w:rPr>
          <w:rFonts w:ascii="仿宋_GB2312" w:hAnsi="微软雅黑" w:eastAsia="仿宋_GB2312" w:cs="宋体"/>
          <w:color w:val="000000"/>
          <w:kern w:val="0"/>
          <w:sz w:val="32"/>
          <w:szCs w:val="32"/>
        </w:rPr>
        <w:t>办件”-</w:t>
      </w:r>
      <w:r>
        <w:rPr>
          <w:rFonts w:hint="eastAsia" w:ascii="仿宋_GB2312" w:hAnsi="微软雅黑" w:eastAsia="仿宋_GB2312" w:cs="宋体"/>
          <w:color w:val="000000"/>
          <w:kern w:val="0"/>
          <w:sz w:val="32"/>
          <w:szCs w:val="32"/>
        </w:rPr>
        <w:t>“查看</w:t>
      </w:r>
      <w:r>
        <w:rPr>
          <w:rFonts w:ascii="仿宋_GB2312" w:hAnsi="微软雅黑" w:eastAsia="仿宋_GB2312" w:cs="宋体"/>
          <w:color w:val="000000"/>
          <w:kern w:val="0"/>
          <w:sz w:val="32"/>
          <w:szCs w:val="32"/>
        </w:rPr>
        <w:t>进度</w:t>
      </w:r>
      <w:r>
        <w:rPr>
          <w:rFonts w:hint="eastAsia" w:ascii="仿宋_GB2312" w:hAnsi="微软雅黑" w:eastAsia="仿宋_GB2312" w:cs="宋体"/>
          <w:color w:val="000000"/>
          <w:kern w:val="0"/>
          <w:sz w:val="32"/>
          <w:szCs w:val="32"/>
        </w:rPr>
        <w:t>”中</w:t>
      </w:r>
      <w:r>
        <w:rPr>
          <w:rFonts w:ascii="仿宋_GB2312" w:hAnsi="微软雅黑" w:eastAsia="仿宋_GB2312" w:cs="宋体"/>
          <w:color w:val="000000"/>
          <w:kern w:val="0"/>
          <w:sz w:val="32"/>
          <w:szCs w:val="32"/>
        </w:rPr>
        <w:t>查看。</w:t>
      </w:r>
      <w:r>
        <w:rPr>
          <w:rFonts w:hint="eastAsia" w:ascii="仿宋_GB2312" w:hAnsi="微软雅黑" w:eastAsia="仿宋_GB2312" w:cs="宋体"/>
          <w:color w:val="000000"/>
          <w:kern w:val="0"/>
          <w:sz w:val="32"/>
          <w:szCs w:val="32"/>
        </w:rPr>
        <w:t>（图12、</w:t>
      </w:r>
      <w:r>
        <w:rPr>
          <w:rFonts w:ascii="仿宋_GB2312" w:hAnsi="微软雅黑" w:eastAsia="仿宋_GB2312" w:cs="宋体"/>
          <w:color w:val="000000"/>
          <w:kern w:val="0"/>
          <w:sz w:val="32"/>
          <w:szCs w:val="32"/>
        </w:rPr>
        <w:t>图</w:t>
      </w:r>
      <w:r>
        <w:rPr>
          <w:rFonts w:hint="eastAsia" w:ascii="仿宋_GB2312" w:hAnsi="微软雅黑" w:eastAsia="仿宋_GB2312" w:cs="宋体"/>
          <w:color w:val="000000"/>
          <w:kern w:val="0"/>
          <w:sz w:val="32"/>
          <w:szCs w:val="32"/>
        </w:rPr>
        <w:t>13）</w:t>
      </w:r>
    </w:p>
    <w:p>
      <w:pPr>
        <w:spacing w:line="600" w:lineRule="exact"/>
        <w:ind w:firstLine="560" w:firstLineChars="200"/>
        <w:rPr>
          <w:rFonts w:ascii="仿宋_GB2312" w:hAnsi="仿宋_GB2312" w:eastAsia="仿宋_GB2312" w:cs="仿宋_GB2312"/>
          <w:sz w:val="28"/>
          <w:szCs w:val="28"/>
        </w:rPr>
      </w:pPr>
    </w:p>
    <w:p>
      <w:pPr>
        <w:spacing w:line="600" w:lineRule="exact"/>
        <w:ind w:firstLine="3780" w:firstLineChars="1350"/>
        <w:rPr>
          <w:rFonts w:ascii="仿宋_GB2312" w:hAnsi="仿宋_GB2312" w:eastAsia="仿宋_GB2312" w:cs="仿宋_GB2312"/>
          <w:sz w:val="28"/>
          <w:szCs w:val="28"/>
        </w:rPr>
      </w:pPr>
      <w:r>
        <w:rPr>
          <w:rFonts w:ascii="仿宋_GB2312" w:hAnsi="仿宋_GB2312" w:eastAsia="仿宋_GB2312" w:cs="仿宋_GB2312"/>
          <w:sz w:val="28"/>
          <w:szCs w:val="28"/>
        </w:rPr>
        <w:drawing>
          <wp:anchor distT="0" distB="0" distL="114300" distR="114300" simplePos="0" relativeHeight="251666432" behindDoc="1" locked="0" layoutInCell="1" allowOverlap="1">
            <wp:simplePos x="0" y="0"/>
            <wp:positionH relativeFrom="column">
              <wp:posOffset>88265</wp:posOffset>
            </wp:positionH>
            <wp:positionV relativeFrom="paragraph">
              <wp:posOffset>3254375</wp:posOffset>
            </wp:positionV>
            <wp:extent cx="5688330" cy="3537585"/>
            <wp:effectExtent l="0" t="0" r="7620" b="5715"/>
            <wp:wrapTight wrapText="bothSides">
              <wp:wrapPolygon>
                <wp:start x="0" y="0"/>
                <wp:lineTo x="0" y="21519"/>
                <wp:lineTo x="21557" y="21519"/>
                <wp:lineTo x="21557" y="0"/>
                <wp:lineTo x="0" y="0"/>
              </wp:wrapPolygon>
            </wp:wrapTight>
            <wp:docPr id="11" name="图片 11" descr="C:\Users\jcy\AppData\Local\Temp\164759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cy\AppData\Local\Temp\164759162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88330" cy="3537585"/>
                    </a:xfrm>
                    <a:prstGeom prst="rect">
                      <a:avLst/>
                    </a:prstGeom>
                    <a:noFill/>
                    <a:ln>
                      <a:noFill/>
                    </a:ln>
                  </pic:spPr>
                </pic:pic>
              </a:graphicData>
            </a:graphic>
          </wp:anchor>
        </w:drawing>
      </w:r>
      <w:r>
        <w:rPr>
          <w:rFonts w:ascii="仿宋_GB2312" w:hAnsi="仿宋_GB2312" w:eastAsia="仿宋_GB2312" w:cs="仿宋_GB2312"/>
          <w:sz w:val="28"/>
          <w:szCs w:val="28"/>
        </w:rPr>
        <w:drawing>
          <wp:anchor distT="0" distB="0" distL="114300" distR="114300" simplePos="0" relativeHeight="251665408" behindDoc="1" locked="0" layoutInCell="1" allowOverlap="1">
            <wp:simplePos x="0" y="0"/>
            <wp:positionH relativeFrom="column">
              <wp:posOffset>635</wp:posOffset>
            </wp:positionH>
            <wp:positionV relativeFrom="paragraph">
              <wp:posOffset>322580</wp:posOffset>
            </wp:positionV>
            <wp:extent cx="5688330" cy="2343785"/>
            <wp:effectExtent l="0" t="0" r="7620" b="0"/>
            <wp:wrapTight wrapText="bothSides">
              <wp:wrapPolygon>
                <wp:start x="0" y="0"/>
                <wp:lineTo x="0" y="21419"/>
                <wp:lineTo x="21557" y="21419"/>
                <wp:lineTo x="21557" y="0"/>
                <wp:lineTo x="0" y="0"/>
              </wp:wrapPolygon>
            </wp:wrapTight>
            <wp:docPr id="10" name="图片 10" descr="C:\Users\jcy\AppData\Local\Temp\1647591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cy\AppData\Local\Temp\164759138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88330" cy="2344062"/>
                    </a:xfrm>
                    <a:prstGeom prst="rect">
                      <a:avLst/>
                    </a:prstGeom>
                    <a:noFill/>
                    <a:ln>
                      <a:noFill/>
                    </a:ln>
                  </pic:spPr>
                </pic:pic>
              </a:graphicData>
            </a:graphic>
          </wp:anchor>
        </w:drawing>
      </w:r>
      <w:r>
        <w:rPr>
          <w:rFonts w:hint="eastAsia" w:ascii="仿宋_GB2312" w:hAnsi="仿宋_GB2312" w:eastAsia="仿宋_GB2312" w:cs="仿宋_GB2312"/>
          <w:sz w:val="28"/>
          <w:szCs w:val="28"/>
        </w:rPr>
        <w:t>图12</w:t>
      </w:r>
    </w:p>
    <w:p>
      <w:pPr>
        <w:spacing w:line="600" w:lineRule="exact"/>
        <w:ind w:firstLine="3780" w:firstLineChars="1350"/>
        <w:rPr>
          <w:rFonts w:ascii="仿宋_GB2312" w:hAnsi="仿宋_GB2312" w:eastAsia="仿宋_GB2312" w:cs="仿宋_GB2312"/>
          <w:sz w:val="28"/>
          <w:szCs w:val="28"/>
        </w:rPr>
      </w:pPr>
      <w:r>
        <w:rPr>
          <w:rFonts w:hint="eastAsia" w:ascii="仿宋_GB2312" w:hAnsi="仿宋_GB2312" w:eastAsia="仿宋_GB2312" w:cs="仿宋_GB2312"/>
          <w:sz w:val="28"/>
          <w:szCs w:val="28"/>
        </w:rPr>
        <w:t>图13</w:t>
      </w:r>
    </w:p>
    <w:p>
      <w:pPr>
        <w:pStyle w:val="4"/>
        <w:shd w:val="clear" w:color="auto" w:fill="FFFFFF"/>
        <w:spacing w:before="75" w:beforeAutospacing="0" w:after="120" w:afterAutospacing="0" w:line="480" w:lineRule="atLeast"/>
        <w:ind w:firstLine="640"/>
        <w:rPr>
          <w:rFonts w:ascii="黑体" w:hAnsi="黑体" w:eastAsia="黑体"/>
          <w:color w:val="000000"/>
          <w:sz w:val="32"/>
          <w:szCs w:val="32"/>
          <w:shd w:val="clear" w:color="auto" w:fill="FFFFFF"/>
        </w:rPr>
      </w:pPr>
    </w:p>
    <w:p>
      <w:pPr>
        <w:pStyle w:val="4"/>
        <w:shd w:val="clear" w:color="auto" w:fill="FFFFFF"/>
        <w:spacing w:before="75" w:beforeAutospacing="0" w:after="120" w:afterAutospacing="0" w:line="480" w:lineRule="atLeast"/>
        <w:ind w:firstLine="640"/>
        <w:rPr>
          <w:rFonts w:ascii="黑体" w:hAnsi="黑体" w:eastAsia="黑体"/>
          <w:color w:val="000000"/>
          <w:sz w:val="32"/>
          <w:szCs w:val="32"/>
          <w:shd w:val="clear" w:color="auto" w:fill="FFFFFF"/>
        </w:rPr>
      </w:pPr>
    </w:p>
    <w:p>
      <w:pPr>
        <w:pStyle w:val="4"/>
        <w:shd w:val="clear" w:color="auto" w:fill="FFFFFF"/>
        <w:spacing w:before="75" w:beforeAutospacing="0" w:after="120" w:afterAutospacing="0" w:line="480" w:lineRule="atLeast"/>
        <w:ind w:firstLine="640"/>
        <w:rPr>
          <w:rFonts w:ascii="黑体" w:hAnsi="黑体" w:eastAsia="黑体"/>
          <w:color w:val="000000"/>
          <w:sz w:val="32"/>
          <w:szCs w:val="32"/>
          <w:shd w:val="clear" w:color="auto" w:fill="FFFFFF"/>
        </w:rPr>
      </w:pPr>
    </w:p>
    <w:p>
      <w:pPr>
        <w:pStyle w:val="4"/>
        <w:keepNext w:val="0"/>
        <w:keepLines w:val="0"/>
        <w:widowControl/>
        <w:suppressLineNumbers w:val="0"/>
        <w:spacing w:before="0" w:beforeAutospacing="0" w:after="120" w:afterAutospacing="0"/>
        <w:ind w:left="0" w:right="0" w:firstLine="0"/>
        <w:rPr>
          <w:rFonts w:ascii="微软雅黑" w:hAnsi="微软雅黑" w:eastAsia="微软雅黑" w:cs="微软雅黑"/>
          <w:i w:val="0"/>
          <w:iCs w:val="0"/>
          <w:caps w:val="0"/>
          <w:color w:val="000000"/>
          <w:spacing w:val="0"/>
          <w:sz w:val="27"/>
          <w:szCs w:val="27"/>
        </w:rPr>
      </w:pPr>
      <w:bookmarkStart w:id="0" w:name="_GoBack"/>
      <w:bookmarkEnd w:id="0"/>
      <w:r>
        <w:rPr>
          <w:rFonts w:hint="eastAsia" w:ascii="宋体" w:hAnsi="宋体" w:eastAsia="宋体" w:cs="宋体"/>
          <w:b/>
          <w:bCs/>
          <w:i w:val="0"/>
          <w:iCs w:val="0"/>
          <w:caps w:val="0"/>
          <w:color w:val="000000"/>
          <w:spacing w:val="0"/>
          <w:sz w:val="28"/>
          <w:szCs w:val="28"/>
        </w:rPr>
        <w:t>【服务地点】苏州市吴中区越溪街道塔韵路178号3楼</w:t>
      </w:r>
    </w:p>
    <w:p>
      <w:pPr>
        <w:pStyle w:val="4"/>
        <w:keepNext w:val="0"/>
        <w:keepLines w:val="0"/>
        <w:widowControl/>
        <w:suppressLineNumbers w:val="0"/>
        <w:spacing w:before="0" w:beforeAutospacing="0" w:after="120" w:afterAutospacing="0"/>
        <w:ind w:left="0" w:right="0" w:firstLine="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【服务时间】周一至周五（节假日除外）：</w:t>
      </w:r>
    </w:p>
    <w:p>
      <w:pPr>
        <w:pStyle w:val="4"/>
        <w:keepNext w:val="0"/>
        <w:keepLines w:val="0"/>
        <w:widowControl/>
        <w:suppressLineNumbers w:val="0"/>
        <w:spacing w:before="0" w:beforeAutospacing="0" w:after="120" w:afterAutospacing="0"/>
        <w:ind w:left="0" w:right="0" w:firstLine="252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上午：9:00-11:30 </w:t>
      </w:r>
    </w:p>
    <w:p>
      <w:pPr>
        <w:pStyle w:val="4"/>
        <w:keepNext w:val="0"/>
        <w:keepLines w:val="0"/>
        <w:widowControl/>
        <w:suppressLineNumbers w:val="0"/>
        <w:spacing w:before="0" w:beforeAutospacing="0" w:after="120" w:afterAutospacing="0"/>
        <w:ind w:left="0" w:right="0" w:firstLine="252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下午：13:00-17:00 </w:t>
      </w:r>
    </w:p>
    <w:p>
      <w:pPr>
        <w:pStyle w:val="4"/>
        <w:keepNext w:val="0"/>
        <w:keepLines w:val="0"/>
        <w:widowControl/>
        <w:suppressLineNumbers w:val="0"/>
        <w:spacing w:before="0" w:beforeAutospacing="0" w:after="120" w:afterAutospacing="0"/>
        <w:ind w:left="0" w:right="0" w:firstLine="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b/>
          <w:bCs/>
          <w:i w:val="0"/>
          <w:iCs w:val="0"/>
          <w:caps w:val="0"/>
          <w:color w:val="000000"/>
          <w:spacing w:val="0"/>
          <w:sz w:val="28"/>
          <w:szCs w:val="28"/>
        </w:rPr>
        <w:t>【服务电话】</w:t>
      </w:r>
      <w:r>
        <w:rPr>
          <w:rFonts w:hint="eastAsia" w:ascii="宋体" w:hAnsi="宋体" w:eastAsia="宋体" w:cs="宋体"/>
          <w:i w:val="0"/>
          <w:iCs w:val="0"/>
          <w:caps w:val="0"/>
          <w:color w:val="000000"/>
          <w:spacing w:val="0"/>
          <w:sz w:val="28"/>
          <w:szCs w:val="28"/>
        </w:rPr>
        <w:t>0512-65256937 ；66056835</w:t>
      </w:r>
    </w:p>
    <w:p>
      <w:pPr>
        <w:spacing w:line="600" w:lineRule="exact"/>
        <w:ind w:firstLine="640" w:firstLineChars="200"/>
        <w:jc w:val="left"/>
        <w:rPr>
          <w:rFonts w:ascii="仿宋_GB2312" w:hAnsi="微软雅黑" w:eastAsia="仿宋_GB2312" w:cs="宋体"/>
          <w:color w:val="000000"/>
          <w:kern w:val="0"/>
          <w:sz w:val="32"/>
          <w:szCs w:val="32"/>
        </w:rPr>
      </w:pPr>
    </w:p>
    <w:sectPr>
      <w:pgSz w:w="11906" w:h="16838"/>
      <w:pgMar w:top="2098" w:right="1361" w:bottom="1417" w:left="1587" w:header="680" w:footer="1247"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方正小标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6FBCE2"/>
    <w:multiLevelType w:val="singleLevel"/>
    <w:tmpl w:val="E76FBCE2"/>
    <w:lvl w:ilvl="0" w:tentative="0">
      <w:start w:val="1"/>
      <w:numFmt w:val="chineseCounting"/>
      <w:suff w:val="nothing"/>
      <w:lvlText w:val="（%1）"/>
      <w:lvlJc w:val="left"/>
      <w:rPr>
        <w:rFonts w:hint="eastAsia"/>
      </w:rPr>
    </w:lvl>
  </w:abstractNum>
  <w:abstractNum w:abstractNumId="1">
    <w:nsid w:val="65B152AA"/>
    <w:multiLevelType w:val="singleLevel"/>
    <w:tmpl w:val="65B152AA"/>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680"/>
    <w:rsid w:val="00011E65"/>
    <w:rsid w:val="0009798D"/>
    <w:rsid w:val="00102684"/>
    <w:rsid w:val="001322EB"/>
    <w:rsid w:val="001A39B6"/>
    <w:rsid w:val="00264C80"/>
    <w:rsid w:val="002727B0"/>
    <w:rsid w:val="002F6ADC"/>
    <w:rsid w:val="003230C8"/>
    <w:rsid w:val="00370640"/>
    <w:rsid w:val="00371D14"/>
    <w:rsid w:val="00371D5C"/>
    <w:rsid w:val="00414E62"/>
    <w:rsid w:val="00440211"/>
    <w:rsid w:val="0045311F"/>
    <w:rsid w:val="00456AA5"/>
    <w:rsid w:val="004B7296"/>
    <w:rsid w:val="005B4DAB"/>
    <w:rsid w:val="00627044"/>
    <w:rsid w:val="0063705D"/>
    <w:rsid w:val="00670465"/>
    <w:rsid w:val="006821DC"/>
    <w:rsid w:val="00682D8B"/>
    <w:rsid w:val="006C1522"/>
    <w:rsid w:val="006C212C"/>
    <w:rsid w:val="006D12DF"/>
    <w:rsid w:val="007358B9"/>
    <w:rsid w:val="00755317"/>
    <w:rsid w:val="00771DF4"/>
    <w:rsid w:val="0078137C"/>
    <w:rsid w:val="007B7BAD"/>
    <w:rsid w:val="007F2B49"/>
    <w:rsid w:val="00815395"/>
    <w:rsid w:val="008953C3"/>
    <w:rsid w:val="009111D7"/>
    <w:rsid w:val="00914E2E"/>
    <w:rsid w:val="00935BFC"/>
    <w:rsid w:val="00995680"/>
    <w:rsid w:val="009A415D"/>
    <w:rsid w:val="009C67FA"/>
    <w:rsid w:val="009E34EE"/>
    <w:rsid w:val="00A447C2"/>
    <w:rsid w:val="00A55BF0"/>
    <w:rsid w:val="00A84B0E"/>
    <w:rsid w:val="00AC7B05"/>
    <w:rsid w:val="00B40F14"/>
    <w:rsid w:val="00B53F12"/>
    <w:rsid w:val="00B975F4"/>
    <w:rsid w:val="00C044D2"/>
    <w:rsid w:val="00C62C2C"/>
    <w:rsid w:val="00CB1901"/>
    <w:rsid w:val="00D13F76"/>
    <w:rsid w:val="00D31988"/>
    <w:rsid w:val="00D375D7"/>
    <w:rsid w:val="00D403E6"/>
    <w:rsid w:val="00D43657"/>
    <w:rsid w:val="00DF5F5B"/>
    <w:rsid w:val="00E22EEA"/>
    <w:rsid w:val="00E45247"/>
    <w:rsid w:val="00E83E31"/>
    <w:rsid w:val="00F83270"/>
    <w:rsid w:val="00FE18F1"/>
    <w:rsid w:val="00FF399D"/>
    <w:rsid w:val="0FE878D7"/>
    <w:rsid w:val="10786DE0"/>
    <w:rsid w:val="107A06CB"/>
    <w:rsid w:val="1C4600AB"/>
    <w:rsid w:val="221F0D4A"/>
    <w:rsid w:val="27B11513"/>
    <w:rsid w:val="2C0276AD"/>
    <w:rsid w:val="2EAE79B9"/>
    <w:rsid w:val="32EC04F8"/>
    <w:rsid w:val="49545A00"/>
    <w:rsid w:val="61207A0E"/>
    <w:rsid w:val="66692E29"/>
    <w:rsid w:val="674868D8"/>
    <w:rsid w:val="6A9A334D"/>
    <w:rsid w:val="6B3F3F8D"/>
    <w:rsid w:val="6D8F4D9D"/>
    <w:rsid w:val="736D4E95"/>
    <w:rsid w:val="78773877"/>
    <w:rsid w:val="7EF21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rPr>
  </w:style>
  <w:style w:type="table" w:styleId="6">
    <w:name w:val="Table Grid"/>
    <w:basedOn w:val="5"/>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Hyperlink"/>
    <w:basedOn w:val="7"/>
    <w:qFormat/>
    <w:uiPriority w:val="0"/>
    <w:rPr>
      <w:color w:val="0000FF"/>
      <w:u w:val="single"/>
    </w:rPr>
  </w:style>
  <w:style w:type="character" w:customStyle="1" w:styleId="10">
    <w:name w:val="页眉 字符"/>
    <w:basedOn w:val="7"/>
    <w:link w:val="3"/>
    <w:uiPriority w:val="0"/>
    <w:rPr>
      <w:rFonts w:asciiTheme="minorHAnsi" w:hAnsiTheme="minorHAnsi" w:eastAsiaTheme="minorEastAsia" w:cstheme="minorBidi"/>
      <w:kern w:val="2"/>
      <w:sz w:val="18"/>
      <w:szCs w:val="18"/>
    </w:rPr>
  </w:style>
  <w:style w:type="character" w:customStyle="1" w:styleId="11">
    <w:name w:val="页脚 字符"/>
    <w:basedOn w:val="7"/>
    <w:link w:val="2"/>
    <w:uiPriority w:val="0"/>
    <w:rPr>
      <w:rFonts w:asciiTheme="minorHAnsi" w:hAnsiTheme="minorHAnsi" w:eastAsiaTheme="minorEastAsia" w:cstheme="minorBidi"/>
      <w:kern w:val="2"/>
      <w:sz w:val="18"/>
      <w:szCs w:val="18"/>
    </w:rPr>
  </w:style>
  <w:style w:type="character" w:customStyle="1" w:styleId="12">
    <w:name w:val="NormalCharacter"/>
    <w:semiHidden/>
    <w:qFormat/>
    <w:uiPriority w:val="0"/>
  </w:style>
  <w:style w:type="paragraph" w:customStyle="1" w:styleId="13">
    <w:name w:val="BodyText"/>
    <w:basedOn w:val="1"/>
    <w:qFormat/>
    <w:uiPriority w:val="0"/>
    <w:pPr>
      <w:widowControl/>
      <w:textAlignment w:val="baseline"/>
    </w:pPr>
    <w:rPr>
      <w:rFonts w:ascii="新宋体" w:hAnsi="新宋体" w:eastAsia="新宋体" w:cs="Times New Roman"/>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3307</Words>
  <Characters>3420</Characters>
  <Lines>29</Lines>
  <Paragraphs>8</Paragraphs>
  <TotalTime>0</TotalTime>
  <ScaleCrop>false</ScaleCrop>
  <LinksUpToDate>false</LinksUpToDate>
  <CharactersWithSpaces>3535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2022-03-18T07:19:00Z</dcterms:created>
  <dc:creator>Administrator</dc:creator>
  <cp:lastModifiedBy>15150155871</cp:lastModifiedBy>
  <dcterms:modified xsi:type="dcterms:W3CDTF">2022-03-30T14:03:37Z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D08DA1463D514381AC8B24F9A50A254D</vt:lpwstr>
  </property>
</Properties>
</file>